
<file path=[Content_Types].xml><?xml version="1.0" encoding="utf-8"?>
<Types xmlns="http://schemas.openxmlformats.org/package/2006/content-types">
  <Default Extension="xml" ContentType="application/xml"/>
  <Default Extension="wmf" ContentType="image/x-wmf"/>
  <Default Extension="xlsx" ContentType="application/vnd.openxmlformats-officedocument.spreadsheetml.shee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charts/chart114.xml" ContentType="application/vnd.openxmlformats-officedocument.drawingml.chart+xml"/>
  <Override PartName="/word/charts/chart115.xml" ContentType="application/vnd.openxmlformats-officedocument.drawingml.chart+xml"/>
  <Override PartName="/word/charts/chart116.xml" ContentType="application/vnd.openxmlformats-officedocument.drawingml.chart+xml"/>
  <Override PartName="/word/charts/chart117.xml" ContentType="application/vnd.openxmlformats-officedocument.drawingml.chart+xml"/>
  <Override PartName="/word/charts/chart118.xml" ContentType="application/vnd.openxmlformats-officedocument.drawingml.chart+xml"/>
  <Override PartName="/word/charts/chart119.xml" ContentType="application/vnd.openxmlformats-officedocument.drawingml.chart+xml"/>
  <Override PartName="/word/charts/chart12.xml" ContentType="application/vnd.openxmlformats-officedocument.drawingml.chart+xml"/>
  <Override PartName="/word/charts/chart120.xml" ContentType="application/vnd.openxmlformats-officedocument.drawingml.chart+xml"/>
  <Override PartName="/word/charts/chart121.xml" ContentType="application/vnd.openxmlformats-officedocument.drawingml.chart+xml"/>
  <Override PartName="/word/charts/chart122.xml" ContentType="application/vnd.openxmlformats-officedocument.drawingml.chart+xml"/>
  <Override PartName="/word/charts/chart123.xml" ContentType="application/vnd.openxmlformats-officedocument.drawingml.chart+xml"/>
  <Override PartName="/word/charts/chart124.xml" ContentType="application/vnd.openxmlformats-officedocument.drawingml.chart+xml"/>
  <Override PartName="/word/charts/chart125.xml" ContentType="application/vnd.openxmlformats-officedocument.drawingml.chart+xml"/>
  <Override PartName="/word/charts/chart126.xml" ContentType="application/vnd.openxmlformats-officedocument.drawingml.chart+xml"/>
  <Override PartName="/word/charts/chart127.xml" ContentType="application/vnd.openxmlformats-officedocument.drawingml.chart+xml"/>
  <Override PartName="/word/charts/chart128.xml" ContentType="application/vnd.openxmlformats-officedocument.drawingml.chart+xml"/>
  <Override PartName="/word/charts/chart129.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10.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theme/themeOverride13.xml" ContentType="application/vnd.openxmlformats-officedocument.themeOverride+xml"/>
  <Override PartName="/word/theme/themeOverride14.xml" ContentType="application/vnd.openxmlformats-officedocument.themeOverride+xml"/>
  <Override PartName="/word/theme/themeOverride15.xml" ContentType="application/vnd.openxmlformats-officedocument.themeOverride+xml"/>
  <Override PartName="/word/theme/themeOverride16.xml" ContentType="application/vnd.openxmlformats-officedocument.themeOverride+xml"/>
  <Override PartName="/word/theme/themeOverride17.xml" ContentType="application/vnd.openxmlformats-officedocument.themeOverride+xml"/>
  <Override PartName="/word/theme/themeOverride18.xml" ContentType="application/vnd.openxmlformats-officedocument.themeOverride+xml"/>
  <Override PartName="/word/theme/themeOverride19.xml" ContentType="application/vnd.openxmlformats-officedocument.themeOverride+xml"/>
  <Override PartName="/word/theme/themeOverride2.xml" ContentType="application/vnd.openxmlformats-officedocument.themeOverride+xml"/>
  <Override PartName="/word/theme/themeOverride20.xml" ContentType="application/vnd.openxmlformats-officedocument.themeOverride+xml"/>
  <Override PartName="/word/theme/themeOverride21.xml" ContentType="application/vnd.openxmlformats-officedocument.themeOverride+xml"/>
  <Override PartName="/word/theme/themeOverride22.xml" ContentType="application/vnd.openxmlformats-officedocument.themeOverride+xml"/>
  <Override PartName="/word/theme/themeOverride23.xml" ContentType="application/vnd.openxmlformats-officedocument.themeOverride+xml"/>
  <Override PartName="/word/theme/themeOverride24.xml" ContentType="application/vnd.openxmlformats-officedocument.themeOverride+xml"/>
  <Override PartName="/word/theme/themeOverride25.xml" ContentType="application/vnd.openxmlformats-officedocument.themeOverride+xml"/>
  <Override PartName="/word/theme/themeOverride26.xml" ContentType="application/vnd.openxmlformats-officedocument.themeOverride+xml"/>
  <Override PartName="/word/theme/themeOverride27.xml" ContentType="application/vnd.openxmlformats-officedocument.themeOverride+xml"/>
  <Override PartName="/word/theme/themeOverride28.xml" ContentType="application/vnd.openxmlformats-officedocument.themeOverride+xml"/>
  <Override PartName="/word/theme/themeOverride29.xml" ContentType="application/vnd.openxmlformats-officedocument.themeOverride+xml"/>
  <Override PartName="/word/theme/themeOverride3.xml" ContentType="application/vnd.openxmlformats-officedocument.themeOverride+xml"/>
  <Override PartName="/word/theme/themeOverride30.xml" ContentType="application/vnd.openxmlformats-officedocument.themeOverride+xml"/>
  <Override PartName="/word/theme/themeOverride31.xml" ContentType="application/vnd.openxmlformats-officedocument.themeOverride+xml"/>
  <Override PartName="/word/theme/themeOverride32.xml" ContentType="application/vnd.openxmlformats-officedocument.themeOverride+xml"/>
  <Override PartName="/word/theme/themeOverride33.xml" ContentType="application/vnd.openxmlformats-officedocument.themeOverride+xml"/>
  <Override PartName="/word/theme/themeOverride34.xml" ContentType="application/vnd.openxmlformats-officedocument.themeOverride+xml"/>
  <Override PartName="/word/theme/themeOverride35.xml" ContentType="application/vnd.openxmlformats-officedocument.themeOverride+xml"/>
  <Override PartName="/word/theme/themeOverride36.xml" ContentType="application/vnd.openxmlformats-officedocument.themeOverride+xml"/>
  <Override PartName="/word/theme/themeOverride37.xml" ContentType="application/vnd.openxmlformats-officedocument.themeOverride+xml"/>
  <Override PartName="/word/theme/themeOverride38.xml" ContentType="application/vnd.openxmlformats-officedocument.themeOverride+xml"/>
  <Override PartName="/word/theme/themeOverride39.xml" ContentType="application/vnd.openxmlformats-officedocument.themeOverride+xml"/>
  <Override PartName="/word/theme/themeOverride4.xml" ContentType="application/vnd.openxmlformats-officedocument.themeOverride+xml"/>
  <Override PartName="/word/theme/themeOverride40.xml" ContentType="application/vnd.openxmlformats-officedocument.themeOverride+xml"/>
  <Override PartName="/word/theme/themeOverride41.xml" ContentType="application/vnd.openxmlformats-officedocument.themeOverride+xml"/>
  <Override PartName="/word/theme/themeOverride42.xml" ContentType="application/vnd.openxmlformats-officedocument.themeOverride+xml"/>
  <Override PartName="/word/theme/themeOverride43.xml" ContentType="application/vnd.openxmlformats-officedocument.themeOverride+xml"/>
  <Override PartName="/word/theme/themeOverride44.xml" ContentType="application/vnd.openxmlformats-officedocument.themeOverride+xml"/>
  <Override PartName="/word/theme/themeOverride45.xml" ContentType="application/vnd.openxmlformats-officedocument.themeOverride+xml"/>
  <Override PartName="/word/theme/themeOverride46.xml" ContentType="application/vnd.openxmlformats-officedocument.themeOverride+xml"/>
  <Override PartName="/word/theme/themeOverride47.xml" ContentType="application/vnd.openxmlformats-officedocument.themeOverride+xml"/>
  <Override PartName="/word/theme/themeOverride48.xml" ContentType="application/vnd.openxmlformats-officedocument.themeOverride+xml"/>
  <Override PartName="/word/theme/themeOverride49.xml" ContentType="application/vnd.openxmlformats-officedocument.themeOverride+xml"/>
  <Override PartName="/word/theme/themeOverride5.xml" ContentType="application/vnd.openxmlformats-officedocument.themeOverride+xml"/>
  <Override PartName="/word/theme/themeOverride50.xml" ContentType="application/vnd.openxmlformats-officedocument.themeOverride+xml"/>
  <Override PartName="/word/theme/themeOverride51.xml" ContentType="application/vnd.openxmlformats-officedocument.themeOverride+xml"/>
  <Override PartName="/word/theme/themeOverride52.xml" ContentType="application/vnd.openxmlformats-officedocument.themeOverride+xml"/>
  <Override PartName="/word/theme/themeOverride53.xml" ContentType="application/vnd.openxmlformats-officedocument.themeOverride+xml"/>
  <Override PartName="/word/theme/themeOverride54.xml" ContentType="application/vnd.openxmlformats-officedocument.themeOverride+xml"/>
  <Override PartName="/word/theme/themeOverride55.xml" ContentType="application/vnd.openxmlformats-officedocument.themeOverride+xml"/>
  <Override PartName="/word/theme/themeOverride56.xml" ContentType="application/vnd.openxmlformats-officedocument.themeOverride+xml"/>
  <Override PartName="/word/theme/themeOverride57.xml" ContentType="application/vnd.openxmlformats-officedocument.themeOverride+xml"/>
  <Override PartName="/word/theme/themeOverride58.xml" ContentType="application/vnd.openxmlformats-officedocument.themeOverride+xml"/>
  <Override PartName="/word/theme/themeOverride59.xml" ContentType="application/vnd.openxmlformats-officedocument.themeOverride+xml"/>
  <Override PartName="/word/theme/themeOverride6.xml" ContentType="application/vnd.openxmlformats-officedocument.themeOverride+xml"/>
  <Override PartName="/word/theme/themeOverride60.xml" ContentType="application/vnd.openxmlformats-officedocument.themeOverride+xml"/>
  <Override PartName="/word/theme/themeOverride61.xml" ContentType="application/vnd.openxmlformats-officedocument.themeOverride+xml"/>
  <Override PartName="/word/theme/themeOverride62.xml" ContentType="application/vnd.openxmlformats-officedocument.themeOverride+xml"/>
  <Override PartName="/word/theme/themeOverride63.xml" ContentType="application/vnd.openxmlformats-officedocument.themeOverride+xml"/>
  <Override PartName="/word/theme/themeOverride64.xml" ContentType="application/vnd.openxmlformats-officedocument.themeOverride+xml"/>
  <Override PartName="/word/theme/themeOverride65.xml" ContentType="application/vnd.openxmlformats-officedocument.themeOverride+xml"/>
  <Override PartName="/word/theme/themeOverride66.xml" ContentType="application/vnd.openxmlformats-officedocument.themeOverride+xml"/>
  <Override PartName="/word/theme/themeOverride67.xml" ContentType="application/vnd.openxmlformats-officedocument.themeOverride+xml"/>
  <Override PartName="/word/theme/themeOverride68.xml" ContentType="application/vnd.openxmlformats-officedocument.themeOverride+xml"/>
  <Override PartName="/word/theme/themeOverride69.xml" ContentType="application/vnd.openxmlformats-officedocument.themeOverride+xml"/>
  <Override PartName="/word/theme/themeOverride7.xml" ContentType="application/vnd.openxmlformats-officedocument.themeOverride+xml"/>
  <Override PartName="/word/theme/themeOverride70.xml" ContentType="application/vnd.openxmlformats-officedocument.themeOverride+xml"/>
  <Override PartName="/word/theme/themeOverride71.xml" ContentType="application/vnd.openxmlformats-officedocument.themeOverride+xml"/>
  <Override PartName="/word/theme/themeOverride8.xml" ContentType="application/vnd.openxmlformats-officedocument.themeOverride+xml"/>
  <Override PartName="/word/theme/themeOverride9.xml" ContentType="application/vnd.openxmlformats-officedocument.themeOverrid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tbl>
      <w:tblPr>
        <w:tblStyle w:val="32"/>
        <w:tblW w:w="9854" w:type="dxa"/>
        <w:jc w:val="center"/>
        <w:tblInd w:w="0" w:type="dxa"/>
        <w:tblLayout w:type="fixed"/>
        <w:tblCellMar>
          <w:top w:w="0" w:type="dxa"/>
          <w:left w:w="108" w:type="dxa"/>
          <w:bottom w:w="0" w:type="dxa"/>
          <w:right w:w="108" w:type="dxa"/>
        </w:tblCellMar>
      </w:tblPr>
      <w:tblGrid>
        <w:gridCol w:w="9854"/>
      </w:tblGrid>
      <w:tr>
        <w:tblPrEx>
          <w:tblLayout w:type="fixed"/>
          <w:tblCellMar>
            <w:top w:w="0" w:type="dxa"/>
            <w:left w:w="108" w:type="dxa"/>
            <w:bottom w:w="0" w:type="dxa"/>
            <w:right w:w="108" w:type="dxa"/>
          </w:tblCellMar>
        </w:tblPrEx>
        <w:trPr>
          <w:trHeight w:val="2880" w:hRule="atLeast"/>
          <w:jc w:val="center"/>
        </w:trPr>
        <w:tc>
          <w:tcPr>
            <w:tcW w:w="9854" w:type="dxa"/>
          </w:tcPr>
          <w:p>
            <w:pPr>
              <w:pStyle w:val="53"/>
              <w:jc w:val="center"/>
              <w:rPr>
                <w:rFonts w:cs="Times New Roman" w:eastAsiaTheme="majorEastAsia"/>
                <w:caps/>
              </w:rPr>
            </w:pPr>
            <w:r>
              <w:rPr>
                <w:rFonts w:cs="Times New Roman" w:eastAsiaTheme="majorEastAsia"/>
                <w:caps/>
              </w:rPr>
              <w:drawing>
                <wp:anchor distT="0" distB="0" distL="114300" distR="114300" simplePos="0" relativeHeight="251663360" behindDoc="0" locked="0" layoutInCell="1" allowOverlap="1">
                  <wp:simplePos x="0" y="0"/>
                  <wp:positionH relativeFrom="column">
                    <wp:posOffset>-752475</wp:posOffset>
                  </wp:positionH>
                  <wp:positionV relativeFrom="paragraph">
                    <wp:posOffset>-925830</wp:posOffset>
                  </wp:positionV>
                  <wp:extent cx="7615555" cy="10705465"/>
                  <wp:effectExtent l="19050" t="0" r="4673" b="0"/>
                  <wp:wrapNone/>
                  <wp:docPr id="24" name="图片 23" descr="中央戏剧学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中央戏剧学院.jpg"/>
                          <pic:cNvPicPr>
                            <a:picLocks noChangeAspect="1"/>
                          </pic:cNvPicPr>
                        </pic:nvPicPr>
                        <pic:blipFill>
                          <a:blip r:embed="rId12" cstate="print"/>
                          <a:stretch>
                            <a:fillRect/>
                          </a:stretch>
                        </pic:blipFill>
                        <pic:spPr>
                          <a:xfrm>
                            <a:off x="0" y="0"/>
                            <a:ext cx="7615327" cy="10705381"/>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1440" w:hRule="atLeast"/>
          <w:jc w:val="center"/>
        </w:trPr>
        <w:tc>
          <w:tcPr>
            <w:tcW w:w="9854" w:type="dxa"/>
            <w:tcBorders>
              <w:bottom w:val="single" w:color="4F81BD" w:themeColor="accent1" w:sz="4" w:space="0"/>
            </w:tcBorders>
            <w:vAlign w:val="center"/>
          </w:tcPr>
          <w:p>
            <w:pPr>
              <w:pStyle w:val="51"/>
              <w:spacing w:after="156" w:afterLines="50"/>
              <w:ind w:left="809" w:leftChars="337" w:right="806" w:rightChars="336"/>
              <w:jc w:val="center"/>
              <w:rPr>
                <w:rFonts w:eastAsia="黑体"/>
                <w:b/>
                <w:bCs/>
                <w:kern w:val="0"/>
                <w:sz w:val="48"/>
                <w:szCs w:val="48"/>
              </w:rPr>
            </w:pPr>
            <w:bookmarkStart w:id="0" w:name="PO_title1"/>
            <w:bookmarkEnd w:id="0"/>
            <w:r>
              <w:rPr>
                <w:rFonts w:hint="eastAsia" w:eastAsia="黑体"/>
                <w:b/>
                <w:bCs/>
                <w:kern w:val="0"/>
                <w:sz w:val="48"/>
                <w:szCs w:val="48"/>
              </w:rPr>
              <w:t>中央戏剧学院</w:t>
            </w:r>
          </w:p>
          <w:p>
            <w:pPr>
              <w:pStyle w:val="51"/>
              <w:spacing w:after="156" w:afterLines="50"/>
              <w:ind w:left="809" w:leftChars="337" w:right="806" w:rightChars="336"/>
              <w:jc w:val="center"/>
              <w:rPr>
                <w:rFonts w:eastAsia="黑体"/>
                <w:b/>
                <w:bCs/>
                <w:kern w:val="0"/>
                <w:sz w:val="48"/>
                <w:szCs w:val="48"/>
              </w:rPr>
            </w:pPr>
            <w:r>
              <w:rPr>
                <w:rFonts w:hint="eastAsia" w:eastAsia="黑体"/>
                <w:b/>
                <w:bCs/>
                <w:kern w:val="0"/>
                <w:sz w:val="48"/>
                <w:szCs w:val="48"/>
              </w:rPr>
              <w:t>2017年度就业质量报告</w:t>
            </w:r>
          </w:p>
        </w:tc>
      </w:tr>
      <w:tr>
        <w:tblPrEx>
          <w:tblLayout w:type="fixed"/>
          <w:tblCellMar>
            <w:top w:w="0" w:type="dxa"/>
            <w:left w:w="108" w:type="dxa"/>
            <w:bottom w:w="0" w:type="dxa"/>
            <w:right w:w="108" w:type="dxa"/>
          </w:tblCellMar>
        </w:tblPrEx>
        <w:trPr>
          <w:trHeight w:val="720" w:hRule="atLeast"/>
          <w:jc w:val="center"/>
        </w:trPr>
        <w:tc>
          <w:tcPr>
            <w:tcW w:w="9854" w:type="dxa"/>
            <w:tcBorders>
              <w:top w:val="single" w:color="4F81BD" w:themeColor="accent1" w:sz="4" w:space="0"/>
            </w:tcBorders>
            <w:vAlign w:val="center"/>
          </w:tcPr>
          <w:p>
            <w:pPr>
              <w:pStyle w:val="51"/>
              <w:jc w:val="center"/>
              <w:rPr>
                <w:rFonts w:cs="Times New Roman" w:eastAsiaTheme="majorEastAsia"/>
                <w:sz w:val="44"/>
                <w:szCs w:val="44"/>
              </w:rPr>
            </w:pPr>
          </w:p>
        </w:tc>
      </w:tr>
      <w:tr>
        <w:tblPrEx>
          <w:tblLayout w:type="fixed"/>
          <w:tblCellMar>
            <w:top w:w="0" w:type="dxa"/>
            <w:left w:w="108" w:type="dxa"/>
            <w:bottom w:w="0" w:type="dxa"/>
            <w:right w:w="108" w:type="dxa"/>
          </w:tblCellMar>
        </w:tblPrEx>
        <w:trPr>
          <w:trHeight w:val="360" w:hRule="atLeast"/>
          <w:jc w:val="center"/>
        </w:trPr>
        <w:tc>
          <w:tcPr>
            <w:tcW w:w="9854" w:type="dxa"/>
            <w:vAlign w:val="center"/>
          </w:tcPr>
          <w:p>
            <w:pPr>
              <w:pStyle w:val="51"/>
              <w:jc w:val="center"/>
              <w:rPr>
                <w:rFonts w:cs="Times New Roman"/>
              </w:rPr>
            </w:pPr>
          </w:p>
        </w:tc>
      </w:tr>
    </w:tbl>
    <w:p>
      <w:pPr>
        <w:ind w:firstLine="420"/>
      </w:pPr>
    </w:p>
    <w:p>
      <w:pPr>
        <w:ind w:firstLine="420"/>
      </w:pPr>
    </w:p>
    <w:p>
      <w:pPr>
        <w:ind w:firstLine="420"/>
      </w:pPr>
    </w:p>
    <w:p>
      <w:pPr>
        <w:ind w:firstLine="420"/>
        <w:rPr>
          <w:kern w:val="0"/>
        </w:rPr>
      </w:pPr>
    </w:p>
    <w:p>
      <w:pPr>
        <w:ind w:firstLine="420"/>
        <w:rPr>
          <w:kern w:val="0"/>
        </w:rPr>
      </w:pPr>
    </w:p>
    <w:p>
      <w:pPr>
        <w:ind w:firstLine="420"/>
        <w:rPr>
          <w:kern w:val="0"/>
        </w:rPr>
      </w:pPr>
    </w:p>
    <w:p>
      <w:pPr>
        <w:ind w:firstLine="420"/>
        <w:rPr>
          <w:kern w:val="0"/>
        </w:rPr>
      </w:pPr>
    </w:p>
    <w:p>
      <w:pPr>
        <w:ind w:firstLine="420"/>
        <w:rPr>
          <w:kern w:val="0"/>
        </w:rPr>
      </w:pPr>
    </w:p>
    <w:p>
      <w:pPr>
        <w:ind w:firstLine="420"/>
        <w:rPr>
          <w:kern w:val="0"/>
        </w:rPr>
      </w:pPr>
    </w:p>
    <w:p>
      <w:pPr>
        <w:ind w:firstLine="420"/>
        <w:rPr>
          <w:kern w:val="0"/>
        </w:rPr>
      </w:pPr>
    </w:p>
    <w:p>
      <w:pPr>
        <w:ind w:firstLine="420"/>
        <w:rPr>
          <w:kern w:val="0"/>
        </w:rPr>
      </w:pPr>
    </w:p>
    <w:p>
      <w:pPr>
        <w:ind w:firstLine="420"/>
        <w:rPr>
          <w:kern w:val="0"/>
        </w:rPr>
      </w:pPr>
    </w:p>
    <w:p>
      <w:pPr>
        <w:ind w:firstLine="420"/>
        <w:rPr>
          <w:kern w:val="0"/>
        </w:rPr>
      </w:pPr>
    </w:p>
    <w:p>
      <w:pPr>
        <w:ind w:firstLine="420"/>
        <w:rPr>
          <w:kern w:val="0"/>
        </w:rPr>
      </w:pPr>
    </w:p>
    <w:p>
      <w:pPr>
        <w:ind w:firstLine="420"/>
        <w:rPr>
          <w:kern w:val="0"/>
        </w:rPr>
      </w:pPr>
    </w:p>
    <w:p>
      <w:pPr>
        <w:ind w:firstLine="420"/>
        <w:rPr>
          <w:kern w:val="0"/>
        </w:rPr>
      </w:pPr>
    </w:p>
    <w:p>
      <w:pPr>
        <w:ind w:firstLine="420"/>
        <w:rPr>
          <w:kern w:val="0"/>
        </w:rPr>
      </w:pPr>
    </w:p>
    <w:p>
      <w:pPr>
        <w:ind w:firstLine="420"/>
        <w:rPr>
          <w:kern w:val="0"/>
        </w:rPr>
      </w:pPr>
    </w:p>
    <w:p>
      <w:pPr>
        <w:ind w:firstLine="420"/>
        <w:rPr>
          <w:kern w:val="0"/>
        </w:rPr>
      </w:pPr>
    </w:p>
    <w:p>
      <w:pPr>
        <w:ind w:firstLine="420"/>
        <w:rPr>
          <w:kern w:val="0"/>
        </w:rPr>
      </w:pPr>
    </w:p>
    <w:p>
      <w:pPr>
        <w:ind w:firstLine="420"/>
        <w:rPr>
          <w:kern w:val="0"/>
        </w:rPr>
      </w:pPr>
    </w:p>
    <w:p>
      <w:pPr>
        <w:ind w:firstLine="560"/>
        <w:jc w:val="center"/>
        <w:rPr>
          <w:rFonts w:ascii="黑体" w:eastAsia="黑体"/>
          <w:kern w:val="0"/>
          <w:sz w:val="28"/>
          <w:szCs w:val="28"/>
        </w:rPr>
      </w:pPr>
      <w:r>
        <w:rPr>
          <w:rFonts w:hint="eastAsia" w:ascii="黑体" w:eastAsia="黑体"/>
          <w:kern w:val="0"/>
          <w:sz w:val="28"/>
          <w:szCs w:val="28"/>
        </w:rPr>
        <w:t>北京高校毕业生就业指导中心</w:t>
      </w:r>
    </w:p>
    <w:p>
      <w:pPr>
        <w:ind w:firstLine="560"/>
        <w:jc w:val="center"/>
        <w:rPr>
          <w:rFonts w:ascii="黑体" w:eastAsia="黑体"/>
          <w:kern w:val="0"/>
          <w:sz w:val="28"/>
          <w:szCs w:val="28"/>
        </w:rPr>
      </w:pPr>
      <w:bookmarkStart w:id="1" w:name="PO_title2"/>
      <w:bookmarkEnd w:id="1"/>
      <w:r>
        <w:rPr>
          <w:rFonts w:hint="eastAsia" w:ascii="黑体" w:eastAsia="黑体"/>
          <w:kern w:val="0"/>
          <w:sz w:val="28"/>
          <w:szCs w:val="28"/>
        </w:rPr>
        <w:t>中央戏剧学院</w:t>
      </w:r>
    </w:p>
    <w:p>
      <w:pPr>
        <w:ind w:firstLine="560"/>
        <w:jc w:val="center"/>
        <w:rPr>
          <w:rFonts w:ascii="黑体" w:eastAsia="黑体"/>
          <w:kern w:val="0"/>
          <w:sz w:val="28"/>
          <w:szCs w:val="28"/>
        </w:rPr>
      </w:pPr>
      <w:r>
        <w:rPr>
          <w:rFonts w:hint="eastAsia" w:ascii="黑体" w:eastAsia="黑体"/>
          <w:kern w:val="0"/>
          <w:sz w:val="28"/>
          <w:szCs w:val="28"/>
        </w:rPr>
        <w:t>201</w:t>
      </w:r>
      <w:r>
        <w:rPr>
          <w:rFonts w:ascii="黑体" w:eastAsia="黑体"/>
          <w:kern w:val="0"/>
          <w:sz w:val="28"/>
          <w:szCs w:val="28"/>
        </w:rPr>
        <w:t>7</w:t>
      </w:r>
      <w:r>
        <w:rPr>
          <w:rFonts w:hint="eastAsia" w:ascii="黑体" w:eastAsia="黑体"/>
          <w:kern w:val="0"/>
          <w:sz w:val="28"/>
          <w:szCs w:val="28"/>
        </w:rPr>
        <w:t>年12月</w:t>
      </w:r>
    </w:p>
    <w:p>
      <w:pPr>
        <w:ind w:firstLine="560"/>
        <w:jc w:val="center"/>
        <w:rPr>
          <w:rFonts w:ascii="黑体" w:hAnsi="黑体" w:eastAsia="黑体"/>
          <w:sz w:val="44"/>
          <w:szCs w:val="44"/>
        </w:rPr>
        <w:sectPr>
          <w:headerReference r:id="rId4" w:type="default"/>
          <w:pgSz w:w="11906" w:h="16838"/>
          <w:pgMar w:top="1418" w:right="1134" w:bottom="1418" w:left="1134" w:header="851" w:footer="992" w:gutter="0"/>
          <w:pgBorders w:offsetFrom="page">
            <w:bottom w:val="single" w:color="auto" w:sz="4" w:space="24"/>
          </w:pgBorders>
          <w:cols w:space="425" w:num="1"/>
          <w:docGrid w:type="lines" w:linePitch="312" w:charSpace="0"/>
        </w:sectPr>
      </w:pPr>
    </w:p>
    <w:p>
      <w:pPr>
        <w:spacing w:after="489" w:afterLines="150"/>
        <w:jc w:val="center"/>
        <w:rPr>
          <w:rFonts w:ascii="黑体" w:hAnsi="黑体" w:eastAsia="黑体"/>
          <w:sz w:val="44"/>
          <w:szCs w:val="44"/>
        </w:rPr>
      </w:pPr>
      <w:r>
        <w:rPr>
          <w:rFonts w:hint="eastAsia" w:ascii="黑体" w:hAnsi="黑体" w:eastAsia="黑体"/>
          <w:sz w:val="44"/>
          <w:szCs w:val="44"/>
        </w:rPr>
        <w:t>目   录</w:t>
      </w:r>
    </w:p>
    <w:p>
      <w:pPr>
        <w:pStyle w:val="18"/>
        <w:rPr>
          <w:b w:val="0"/>
          <w:bCs w:val="0"/>
          <w:caps w:val="0"/>
          <w:sz w:val="21"/>
          <w:szCs w:val="22"/>
        </w:rPr>
      </w:pPr>
      <w:r>
        <w:rPr>
          <w:sz w:val="18"/>
          <w:szCs w:val="18"/>
        </w:rPr>
        <w:fldChar w:fldCharType="begin"/>
      </w:r>
      <w:r>
        <w:rPr>
          <w:sz w:val="18"/>
          <w:szCs w:val="18"/>
        </w:rPr>
        <w:instrText xml:space="preserve"> TOC \o "1-4" \h \z \u </w:instrText>
      </w:r>
      <w:r>
        <w:rPr>
          <w:sz w:val="18"/>
          <w:szCs w:val="18"/>
        </w:rPr>
        <w:fldChar w:fldCharType="separate"/>
      </w:r>
      <w:r>
        <w:fldChar w:fldCharType="begin"/>
      </w:r>
      <w:r>
        <w:instrText xml:space="preserve"> HYPERLINK \l "_Toc486857459" </w:instrText>
      </w:r>
      <w:r>
        <w:fldChar w:fldCharType="separate"/>
      </w:r>
      <w:r>
        <w:rPr>
          <w:rStyle w:val="29"/>
        </w:rPr>
        <w:t>第一章　背景与概况</w:t>
      </w:r>
      <w:r>
        <w:tab/>
      </w:r>
      <w:r>
        <w:fldChar w:fldCharType="begin"/>
      </w:r>
      <w:r>
        <w:instrText xml:space="preserve"> PAGEREF _Toc486857459 \h </w:instrText>
      </w:r>
      <w:r>
        <w:fldChar w:fldCharType="separate"/>
      </w:r>
      <w:r>
        <w:t>3</w:t>
      </w:r>
      <w:r>
        <w:fldChar w:fldCharType="end"/>
      </w:r>
      <w:r>
        <w:fldChar w:fldCharType="end"/>
      </w:r>
    </w:p>
    <w:p>
      <w:pPr>
        <w:pStyle w:val="23"/>
        <w:rPr>
          <w:b w:val="0"/>
          <w:smallCaps w:val="0"/>
          <w:sz w:val="21"/>
          <w:szCs w:val="22"/>
        </w:rPr>
      </w:pPr>
      <w:r>
        <w:fldChar w:fldCharType="begin"/>
      </w:r>
      <w:r>
        <w:instrText xml:space="preserve"> HYPERLINK \l "_Toc486857460" </w:instrText>
      </w:r>
      <w:r>
        <w:fldChar w:fldCharType="separate"/>
      </w:r>
      <w:r>
        <w:rPr>
          <w:rStyle w:val="29"/>
        </w:rPr>
        <w:t>一、背景</w:t>
      </w:r>
      <w:r>
        <w:tab/>
      </w:r>
      <w:r>
        <w:fldChar w:fldCharType="begin"/>
      </w:r>
      <w:r>
        <w:instrText xml:space="preserve"> PAGEREF _Toc486857460 \h </w:instrText>
      </w:r>
      <w:r>
        <w:fldChar w:fldCharType="separate"/>
      </w:r>
      <w:r>
        <w:t>3</w:t>
      </w:r>
      <w:r>
        <w:fldChar w:fldCharType="end"/>
      </w:r>
      <w:r>
        <w:fldChar w:fldCharType="end"/>
      </w:r>
    </w:p>
    <w:p>
      <w:pPr>
        <w:pStyle w:val="23"/>
        <w:rPr>
          <w:b w:val="0"/>
          <w:smallCaps w:val="0"/>
          <w:sz w:val="21"/>
          <w:szCs w:val="22"/>
        </w:rPr>
      </w:pPr>
      <w:r>
        <w:fldChar w:fldCharType="begin"/>
      </w:r>
      <w:r>
        <w:instrText xml:space="preserve"> HYPERLINK \l "_Toc486857461" </w:instrText>
      </w:r>
      <w:r>
        <w:fldChar w:fldCharType="separate"/>
      </w:r>
      <w:r>
        <w:rPr>
          <w:rStyle w:val="29"/>
        </w:rPr>
        <w:t>二、概况</w:t>
      </w:r>
      <w:r>
        <w:tab/>
      </w:r>
      <w:r>
        <w:fldChar w:fldCharType="begin"/>
      </w:r>
      <w:r>
        <w:instrText xml:space="preserve"> PAGEREF _Toc486857461 \h </w:instrText>
      </w:r>
      <w:r>
        <w:fldChar w:fldCharType="separate"/>
      </w:r>
      <w:r>
        <w:t>3</w:t>
      </w:r>
      <w:r>
        <w:fldChar w:fldCharType="end"/>
      </w:r>
      <w:r>
        <w:fldChar w:fldCharType="end"/>
      </w:r>
    </w:p>
    <w:p>
      <w:pPr>
        <w:pStyle w:val="18"/>
        <w:rPr>
          <w:b w:val="0"/>
          <w:bCs w:val="0"/>
          <w:caps w:val="0"/>
          <w:sz w:val="21"/>
          <w:szCs w:val="22"/>
        </w:rPr>
      </w:pPr>
      <w:r>
        <w:fldChar w:fldCharType="begin"/>
      </w:r>
      <w:r>
        <w:instrText xml:space="preserve"> HYPERLINK \l "_Toc486857462" </w:instrText>
      </w:r>
      <w:r>
        <w:fldChar w:fldCharType="separate"/>
      </w:r>
      <w:r>
        <w:rPr>
          <w:rStyle w:val="29"/>
        </w:rPr>
        <w:t>第二章　毕业生基本情况与毕业去向</w:t>
      </w:r>
      <w:r>
        <w:tab/>
      </w:r>
      <w:r>
        <w:fldChar w:fldCharType="begin"/>
      </w:r>
      <w:r>
        <w:instrText xml:space="preserve"> PAGEREF _Toc486857462 \h </w:instrText>
      </w:r>
      <w:r>
        <w:fldChar w:fldCharType="separate"/>
      </w:r>
      <w:r>
        <w:t>5</w:t>
      </w:r>
      <w:r>
        <w:fldChar w:fldCharType="end"/>
      </w:r>
      <w:r>
        <w:fldChar w:fldCharType="end"/>
      </w:r>
    </w:p>
    <w:p>
      <w:pPr>
        <w:pStyle w:val="23"/>
        <w:rPr>
          <w:b w:val="0"/>
          <w:smallCaps w:val="0"/>
          <w:sz w:val="21"/>
          <w:szCs w:val="22"/>
        </w:rPr>
      </w:pPr>
      <w:r>
        <w:fldChar w:fldCharType="begin"/>
      </w:r>
      <w:r>
        <w:instrText xml:space="preserve"> HYPERLINK \l "_Toc486857463" </w:instrText>
      </w:r>
      <w:r>
        <w:fldChar w:fldCharType="separate"/>
      </w:r>
      <w:r>
        <w:rPr>
          <w:rStyle w:val="29"/>
        </w:rPr>
        <w:t>一、毕业生规模与结构</w:t>
      </w:r>
      <w:r>
        <w:tab/>
      </w:r>
      <w:r>
        <w:fldChar w:fldCharType="begin"/>
      </w:r>
      <w:r>
        <w:instrText xml:space="preserve"> PAGEREF _Toc486857463 \h </w:instrText>
      </w:r>
      <w:r>
        <w:fldChar w:fldCharType="separate"/>
      </w:r>
      <w:r>
        <w:t>5</w:t>
      </w:r>
      <w:r>
        <w:fldChar w:fldCharType="end"/>
      </w:r>
      <w:r>
        <w:fldChar w:fldCharType="end"/>
      </w:r>
    </w:p>
    <w:p>
      <w:pPr>
        <w:pStyle w:val="23"/>
        <w:rPr>
          <w:b w:val="0"/>
          <w:smallCaps w:val="0"/>
          <w:sz w:val="21"/>
          <w:szCs w:val="22"/>
        </w:rPr>
      </w:pPr>
      <w:r>
        <w:fldChar w:fldCharType="begin"/>
      </w:r>
      <w:r>
        <w:instrText xml:space="preserve"> HYPERLINK \l "_Toc486857464" </w:instrText>
      </w:r>
      <w:r>
        <w:fldChar w:fldCharType="separate"/>
      </w:r>
      <w:r>
        <w:rPr>
          <w:rStyle w:val="29"/>
        </w:rPr>
        <w:t>二、毕业去向情况</w:t>
      </w:r>
      <w:r>
        <w:tab/>
      </w:r>
      <w:r>
        <w:fldChar w:fldCharType="begin"/>
      </w:r>
      <w:r>
        <w:instrText xml:space="preserve"> PAGEREF _Toc486857464 \h </w:instrText>
      </w:r>
      <w:r>
        <w:fldChar w:fldCharType="separate"/>
      </w:r>
      <w:r>
        <w:t>5</w:t>
      </w:r>
      <w:r>
        <w:fldChar w:fldCharType="end"/>
      </w:r>
      <w:r>
        <w:fldChar w:fldCharType="end"/>
      </w:r>
    </w:p>
    <w:p>
      <w:pPr>
        <w:pStyle w:val="12"/>
        <w:ind w:left="1464"/>
        <w:rPr>
          <w:iCs w:val="0"/>
          <w:sz w:val="21"/>
          <w:szCs w:val="22"/>
        </w:rPr>
      </w:pPr>
      <w:r>
        <w:fldChar w:fldCharType="begin"/>
      </w:r>
      <w:r>
        <w:instrText xml:space="preserve"> HYPERLINK \l "_Toc486857465" </w:instrText>
      </w:r>
      <w:r>
        <w:fldChar w:fldCharType="separate"/>
      </w:r>
      <w:r>
        <w:rPr>
          <w:rStyle w:val="29"/>
        </w:rPr>
        <w:t>（一）就业率</w:t>
      </w:r>
      <w:r>
        <w:tab/>
      </w:r>
      <w:r>
        <w:fldChar w:fldCharType="begin"/>
      </w:r>
      <w:r>
        <w:instrText xml:space="preserve"> PAGEREF _Toc486857465 \h </w:instrText>
      </w:r>
      <w:r>
        <w:fldChar w:fldCharType="separate"/>
      </w:r>
      <w:r>
        <w:t>5</w:t>
      </w:r>
      <w:r>
        <w:fldChar w:fldCharType="end"/>
      </w:r>
      <w:r>
        <w:fldChar w:fldCharType="end"/>
      </w:r>
    </w:p>
    <w:p>
      <w:pPr>
        <w:pStyle w:val="12"/>
        <w:ind w:left="1464"/>
        <w:rPr>
          <w:iCs w:val="0"/>
          <w:sz w:val="21"/>
          <w:szCs w:val="22"/>
        </w:rPr>
      </w:pPr>
      <w:r>
        <w:fldChar w:fldCharType="begin"/>
      </w:r>
      <w:r>
        <w:instrText xml:space="preserve"> HYPERLINK \l "_Toc486857472" </w:instrText>
      </w:r>
      <w:r>
        <w:fldChar w:fldCharType="separate"/>
      </w:r>
      <w:r>
        <w:rPr>
          <w:rStyle w:val="29"/>
        </w:rPr>
        <w:t>（二）就业地区分布</w:t>
      </w:r>
      <w:r>
        <w:tab/>
      </w:r>
      <w:r>
        <w:fldChar w:fldCharType="begin"/>
      </w:r>
      <w:r>
        <w:instrText xml:space="preserve"> PAGEREF _Toc486857472 \h </w:instrText>
      </w:r>
      <w:r>
        <w:fldChar w:fldCharType="separate"/>
      </w:r>
      <w:r>
        <w:t>6</w:t>
      </w:r>
      <w:r>
        <w:fldChar w:fldCharType="end"/>
      </w:r>
      <w:r>
        <w:fldChar w:fldCharType="end"/>
      </w:r>
    </w:p>
    <w:p>
      <w:pPr>
        <w:pStyle w:val="12"/>
        <w:ind w:left="1464"/>
        <w:rPr>
          <w:iCs w:val="0"/>
          <w:sz w:val="21"/>
          <w:szCs w:val="22"/>
        </w:rPr>
      </w:pPr>
      <w:r>
        <w:fldChar w:fldCharType="begin"/>
      </w:r>
      <w:r>
        <w:instrText xml:space="preserve"> HYPERLINK \l "_Toc486857473" </w:instrText>
      </w:r>
      <w:r>
        <w:fldChar w:fldCharType="separate"/>
      </w:r>
      <w:r>
        <w:rPr>
          <w:rStyle w:val="29"/>
        </w:rPr>
        <w:t>（三）就业单位类型分布</w:t>
      </w:r>
      <w:r>
        <w:tab/>
      </w:r>
      <w:r>
        <w:fldChar w:fldCharType="begin"/>
      </w:r>
      <w:r>
        <w:instrText xml:space="preserve"> PAGEREF _Toc486857473 \h </w:instrText>
      </w:r>
      <w:r>
        <w:fldChar w:fldCharType="separate"/>
      </w:r>
      <w:r>
        <w:t>7</w:t>
      </w:r>
      <w:r>
        <w:fldChar w:fldCharType="end"/>
      </w:r>
      <w:r>
        <w:fldChar w:fldCharType="end"/>
      </w:r>
    </w:p>
    <w:p>
      <w:pPr>
        <w:pStyle w:val="12"/>
        <w:ind w:left="1464"/>
        <w:rPr>
          <w:iCs w:val="0"/>
          <w:sz w:val="21"/>
          <w:szCs w:val="22"/>
        </w:rPr>
      </w:pPr>
      <w:r>
        <w:fldChar w:fldCharType="begin"/>
      </w:r>
      <w:r>
        <w:instrText xml:space="preserve"> HYPERLINK \l "_Toc486857474" </w:instrText>
      </w:r>
      <w:r>
        <w:fldChar w:fldCharType="separate"/>
      </w:r>
      <w:r>
        <w:rPr>
          <w:rStyle w:val="29"/>
        </w:rPr>
        <w:t>（四）就业行业分布</w:t>
      </w:r>
      <w:r>
        <w:tab/>
      </w:r>
      <w:r>
        <w:fldChar w:fldCharType="begin"/>
      </w:r>
      <w:r>
        <w:instrText xml:space="preserve"> PAGEREF _Toc486857474 \h </w:instrText>
      </w:r>
      <w:r>
        <w:fldChar w:fldCharType="separate"/>
      </w:r>
      <w:r>
        <w:t>7</w:t>
      </w:r>
      <w:r>
        <w:fldChar w:fldCharType="end"/>
      </w:r>
      <w:r>
        <w:fldChar w:fldCharType="end"/>
      </w:r>
    </w:p>
    <w:p>
      <w:pPr>
        <w:pStyle w:val="12"/>
        <w:ind w:left="1464"/>
        <w:rPr>
          <w:iCs w:val="0"/>
          <w:sz w:val="21"/>
          <w:szCs w:val="22"/>
        </w:rPr>
      </w:pPr>
      <w:r>
        <w:fldChar w:fldCharType="begin"/>
      </w:r>
      <w:r>
        <w:instrText xml:space="preserve"> HYPERLINK \l "_Toc486857475" </w:instrText>
      </w:r>
      <w:r>
        <w:fldChar w:fldCharType="separate"/>
      </w:r>
      <w:r>
        <w:rPr>
          <w:rStyle w:val="29"/>
        </w:rPr>
        <w:t>（五）</w:t>
      </w:r>
      <w:r>
        <w:rPr>
          <w:rStyle w:val="29"/>
          <w:rFonts w:ascii="Times New Roman" w:hAnsi="Times New Roman" w:cs="Times New Roman"/>
        </w:rPr>
        <w:t>国内升学情况</w:t>
      </w:r>
      <w:r>
        <w:tab/>
      </w:r>
      <w:r>
        <w:fldChar w:fldCharType="begin"/>
      </w:r>
      <w:r>
        <w:instrText xml:space="preserve"> PAGEREF _Toc486857475 \h </w:instrText>
      </w:r>
      <w:r>
        <w:fldChar w:fldCharType="separate"/>
      </w:r>
      <w:r>
        <w:t>7</w:t>
      </w:r>
      <w:r>
        <w:fldChar w:fldCharType="end"/>
      </w:r>
      <w:r>
        <w:fldChar w:fldCharType="end"/>
      </w:r>
    </w:p>
    <w:p>
      <w:pPr>
        <w:pStyle w:val="12"/>
        <w:ind w:left="1464"/>
        <w:rPr>
          <w:iCs w:val="0"/>
          <w:sz w:val="21"/>
          <w:szCs w:val="22"/>
        </w:rPr>
      </w:pPr>
      <w:r>
        <w:fldChar w:fldCharType="begin"/>
      </w:r>
      <w:r>
        <w:instrText xml:space="preserve"> HYPERLINK \l "_Toc486857476" </w:instrText>
      </w:r>
      <w:r>
        <w:fldChar w:fldCharType="separate"/>
      </w:r>
      <w:r>
        <w:rPr>
          <w:rStyle w:val="29"/>
        </w:rPr>
        <w:t>（六）出国（境）留学情况</w:t>
      </w:r>
      <w:r>
        <w:tab/>
      </w:r>
      <w:r>
        <w:fldChar w:fldCharType="begin"/>
      </w:r>
      <w:r>
        <w:instrText xml:space="preserve"> PAGEREF _Toc486857476 \h </w:instrText>
      </w:r>
      <w:r>
        <w:fldChar w:fldCharType="separate"/>
      </w:r>
      <w:r>
        <w:t>7</w:t>
      </w:r>
      <w:r>
        <w:fldChar w:fldCharType="end"/>
      </w:r>
      <w:r>
        <w:fldChar w:fldCharType="end"/>
      </w:r>
    </w:p>
    <w:p>
      <w:pPr>
        <w:pStyle w:val="18"/>
        <w:rPr>
          <w:b w:val="0"/>
          <w:bCs w:val="0"/>
          <w:caps w:val="0"/>
          <w:sz w:val="21"/>
          <w:szCs w:val="22"/>
        </w:rPr>
      </w:pPr>
      <w:r>
        <w:fldChar w:fldCharType="begin"/>
      </w:r>
      <w:r>
        <w:instrText xml:space="preserve"> HYPERLINK \l "_Toc486857477" </w:instrText>
      </w:r>
      <w:r>
        <w:fldChar w:fldCharType="separate"/>
      </w:r>
      <w:r>
        <w:rPr>
          <w:rStyle w:val="29"/>
        </w:rPr>
        <w:t>第三章  毕业生调查数据分析</w:t>
      </w:r>
      <w:r>
        <w:tab/>
      </w:r>
      <w:r>
        <w:fldChar w:fldCharType="begin"/>
      </w:r>
      <w:r>
        <w:instrText xml:space="preserve"> PAGEREF _Toc486857477 \h </w:instrText>
      </w:r>
      <w:r>
        <w:fldChar w:fldCharType="separate"/>
      </w:r>
      <w:r>
        <w:t>8</w:t>
      </w:r>
      <w:r>
        <w:fldChar w:fldCharType="end"/>
      </w:r>
      <w:r>
        <w:fldChar w:fldCharType="end"/>
      </w:r>
    </w:p>
    <w:p>
      <w:pPr>
        <w:pStyle w:val="23"/>
        <w:rPr>
          <w:b w:val="0"/>
          <w:smallCaps w:val="0"/>
          <w:sz w:val="21"/>
          <w:szCs w:val="22"/>
        </w:rPr>
      </w:pPr>
      <w:r>
        <w:fldChar w:fldCharType="begin"/>
      </w:r>
      <w:r>
        <w:instrText xml:space="preserve"> HYPERLINK \l "_Toc486857478" </w:instrText>
      </w:r>
      <w:r>
        <w:fldChar w:fldCharType="separate"/>
      </w:r>
      <w:r>
        <w:rPr>
          <w:rStyle w:val="29"/>
        </w:rPr>
        <w:t>一、研究概况</w:t>
      </w:r>
      <w:r>
        <w:tab/>
      </w:r>
      <w:r>
        <w:fldChar w:fldCharType="begin"/>
      </w:r>
      <w:r>
        <w:instrText xml:space="preserve"> PAGEREF _Toc486857478 \h </w:instrText>
      </w:r>
      <w:r>
        <w:fldChar w:fldCharType="separate"/>
      </w:r>
      <w:r>
        <w:t>8</w:t>
      </w:r>
      <w:r>
        <w:fldChar w:fldCharType="end"/>
      </w:r>
      <w:r>
        <w:fldChar w:fldCharType="end"/>
      </w:r>
    </w:p>
    <w:p>
      <w:pPr>
        <w:pStyle w:val="12"/>
        <w:ind w:left="1464"/>
        <w:rPr>
          <w:iCs w:val="0"/>
          <w:sz w:val="21"/>
          <w:szCs w:val="22"/>
        </w:rPr>
      </w:pPr>
      <w:r>
        <w:fldChar w:fldCharType="begin"/>
      </w:r>
      <w:r>
        <w:instrText xml:space="preserve"> HYPERLINK \l "_Toc486857479" </w:instrText>
      </w:r>
      <w:r>
        <w:fldChar w:fldCharType="separate"/>
      </w:r>
      <w:r>
        <w:rPr>
          <w:rStyle w:val="29"/>
        </w:rPr>
        <w:t>（一）调查方法</w:t>
      </w:r>
      <w:r>
        <w:tab/>
      </w:r>
      <w:r>
        <w:fldChar w:fldCharType="begin"/>
      </w:r>
      <w:r>
        <w:instrText xml:space="preserve"> PAGEREF _Toc486857479 \h </w:instrText>
      </w:r>
      <w:r>
        <w:fldChar w:fldCharType="separate"/>
      </w:r>
      <w:r>
        <w:t>8</w:t>
      </w:r>
      <w:r>
        <w:fldChar w:fldCharType="end"/>
      </w:r>
      <w:r>
        <w:fldChar w:fldCharType="end"/>
      </w:r>
    </w:p>
    <w:p>
      <w:pPr>
        <w:pStyle w:val="12"/>
        <w:ind w:left="1464"/>
        <w:rPr>
          <w:iCs w:val="0"/>
          <w:sz w:val="21"/>
          <w:szCs w:val="22"/>
        </w:rPr>
      </w:pPr>
      <w:r>
        <w:fldChar w:fldCharType="begin"/>
      </w:r>
      <w:r>
        <w:instrText xml:space="preserve"> HYPERLINK \l "_Toc486857480" </w:instrText>
      </w:r>
      <w:r>
        <w:fldChar w:fldCharType="separate"/>
      </w:r>
      <w:r>
        <w:rPr>
          <w:rStyle w:val="29"/>
        </w:rPr>
        <w:t>（二）分析方法</w:t>
      </w:r>
      <w:r>
        <w:tab/>
      </w:r>
      <w:r>
        <w:fldChar w:fldCharType="begin"/>
      </w:r>
      <w:r>
        <w:instrText xml:space="preserve"> PAGEREF _Toc486857480 \h </w:instrText>
      </w:r>
      <w:r>
        <w:fldChar w:fldCharType="separate"/>
      </w:r>
      <w:r>
        <w:t>8</w:t>
      </w:r>
      <w:r>
        <w:fldChar w:fldCharType="end"/>
      </w:r>
      <w:r>
        <w:fldChar w:fldCharType="end"/>
      </w:r>
    </w:p>
    <w:p>
      <w:pPr>
        <w:pStyle w:val="12"/>
        <w:ind w:left="1464"/>
        <w:rPr>
          <w:iCs w:val="0"/>
          <w:sz w:val="21"/>
          <w:szCs w:val="22"/>
        </w:rPr>
      </w:pPr>
      <w:r>
        <w:fldChar w:fldCharType="begin"/>
      </w:r>
      <w:r>
        <w:instrText xml:space="preserve"> HYPERLINK \l "_Toc486857481" </w:instrText>
      </w:r>
      <w:r>
        <w:fldChar w:fldCharType="separate"/>
      </w:r>
      <w:r>
        <w:rPr>
          <w:rStyle w:val="29"/>
        </w:rPr>
        <w:t>（三）样本特征</w:t>
      </w:r>
      <w:r>
        <w:tab/>
      </w:r>
      <w:r>
        <w:fldChar w:fldCharType="begin"/>
      </w:r>
      <w:r>
        <w:instrText xml:space="preserve"> PAGEREF _Toc486857481 \h </w:instrText>
      </w:r>
      <w:r>
        <w:fldChar w:fldCharType="separate"/>
      </w:r>
      <w:r>
        <w:t>8</w:t>
      </w:r>
      <w:r>
        <w:fldChar w:fldCharType="end"/>
      </w:r>
      <w:r>
        <w:fldChar w:fldCharType="end"/>
      </w:r>
    </w:p>
    <w:p>
      <w:pPr>
        <w:pStyle w:val="23"/>
        <w:rPr>
          <w:b w:val="0"/>
          <w:smallCaps w:val="0"/>
          <w:sz w:val="21"/>
          <w:szCs w:val="22"/>
        </w:rPr>
      </w:pPr>
      <w:r>
        <w:fldChar w:fldCharType="begin"/>
      </w:r>
      <w:r>
        <w:instrText xml:space="preserve"> HYPERLINK \l "_Toc486857482" </w:instrText>
      </w:r>
      <w:r>
        <w:fldChar w:fldCharType="separate"/>
      </w:r>
      <w:r>
        <w:rPr>
          <w:rStyle w:val="29"/>
        </w:rPr>
        <w:t>二、本科生调查数据分析</w:t>
      </w:r>
      <w:r>
        <w:tab/>
      </w:r>
      <w:r>
        <w:fldChar w:fldCharType="begin"/>
      </w:r>
      <w:r>
        <w:instrText xml:space="preserve"> PAGEREF _Toc486857482 \h </w:instrText>
      </w:r>
      <w:r>
        <w:fldChar w:fldCharType="separate"/>
      </w:r>
      <w:r>
        <w:t>10</w:t>
      </w:r>
      <w:r>
        <w:fldChar w:fldCharType="end"/>
      </w:r>
      <w:r>
        <w:fldChar w:fldCharType="end"/>
      </w:r>
    </w:p>
    <w:p>
      <w:pPr>
        <w:pStyle w:val="12"/>
        <w:ind w:left="1464"/>
        <w:rPr>
          <w:iCs w:val="0"/>
          <w:sz w:val="21"/>
          <w:szCs w:val="22"/>
        </w:rPr>
      </w:pPr>
      <w:r>
        <w:fldChar w:fldCharType="begin"/>
      </w:r>
      <w:r>
        <w:instrText xml:space="preserve"> HYPERLINK \l "_Toc486857483" </w:instrText>
      </w:r>
      <w:r>
        <w:fldChar w:fldCharType="separate"/>
      </w:r>
      <w:r>
        <w:rPr>
          <w:rStyle w:val="29"/>
        </w:rPr>
        <w:t>（一）本科生专业培养及就业创业教育反馈</w:t>
      </w:r>
      <w:r>
        <w:tab/>
      </w:r>
      <w:r>
        <w:fldChar w:fldCharType="begin"/>
      </w:r>
      <w:r>
        <w:instrText xml:space="preserve"> PAGEREF _Toc486857483 \h </w:instrText>
      </w:r>
      <w:r>
        <w:fldChar w:fldCharType="separate"/>
      </w:r>
      <w:r>
        <w:t>10</w:t>
      </w:r>
      <w:r>
        <w:fldChar w:fldCharType="end"/>
      </w:r>
      <w:r>
        <w:fldChar w:fldCharType="end"/>
      </w:r>
    </w:p>
    <w:p>
      <w:pPr>
        <w:pStyle w:val="12"/>
        <w:ind w:left="1464"/>
        <w:rPr>
          <w:iCs w:val="0"/>
          <w:sz w:val="21"/>
          <w:szCs w:val="22"/>
        </w:rPr>
      </w:pPr>
      <w:r>
        <w:fldChar w:fldCharType="begin"/>
      </w:r>
      <w:r>
        <w:instrText xml:space="preserve"> HYPERLINK \l "_Toc486857490" </w:instrText>
      </w:r>
      <w:r>
        <w:fldChar w:fldCharType="separate"/>
      </w:r>
      <w:r>
        <w:rPr>
          <w:rStyle w:val="29"/>
        </w:rPr>
        <w:t>（二）本科生就业结果</w:t>
      </w:r>
      <w:r>
        <w:tab/>
      </w:r>
      <w:r>
        <w:fldChar w:fldCharType="begin"/>
      </w:r>
      <w:r>
        <w:instrText xml:space="preserve"> PAGEREF _Toc486857490 \h </w:instrText>
      </w:r>
      <w:r>
        <w:fldChar w:fldCharType="separate"/>
      </w:r>
      <w:r>
        <w:t>21</w:t>
      </w:r>
      <w:r>
        <w:fldChar w:fldCharType="end"/>
      </w:r>
      <w:r>
        <w:fldChar w:fldCharType="end"/>
      </w:r>
    </w:p>
    <w:p>
      <w:pPr>
        <w:pStyle w:val="12"/>
        <w:ind w:left="1464"/>
        <w:rPr>
          <w:iCs w:val="0"/>
          <w:sz w:val="21"/>
          <w:szCs w:val="22"/>
        </w:rPr>
      </w:pPr>
      <w:r>
        <w:fldChar w:fldCharType="begin"/>
      </w:r>
      <w:r>
        <w:instrText xml:space="preserve"> HYPERLINK \l "_Toc486857502" </w:instrText>
      </w:r>
      <w:r>
        <w:fldChar w:fldCharType="separate"/>
      </w:r>
      <w:r>
        <w:rPr>
          <w:rStyle w:val="29"/>
        </w:rPr>
        <w:t>（三）本科生求职过程</w:t>
      </w:r>
      <w:r>
        <w:tab/>
      </w:r>
      <w:r>
        <w:fldChar w:fldCharType="begin"/>
      </w:r>
      <w:r>
        <w:instrText xml:space="preserve"> PAGEREF _Toc486857502 \h </w:instrText>
      </w:r>
      <w:r>
        <w:fldChar w:fldCharType="separate"/>
      </w:r>
      <w:r>
        <w:t>39</w:t>
      </w:r>
      <w:r>
        <w:fldChar w:fldCharType="end"/>
      </w:r>
      <w:r>
        <w:fldChar w:fldCharType="end"/>
      </w:r>
    </w:p>
    <w:p>
      <w:pPr>
        <w:pStyle w:val="23"/>
        <w:rPr>
          <w:b w:val="0"/>
          <w:smallCaps w:val="0"/>
          <w:sz w:val="21"/>
          <w:szCs w:val="22"/>
        </w:rPr>
      </w:pPr>
      <w:r>
        <w:fldChar w:fldCharType="begin"/>
      </w:r>
      <w:r>
        <w:instrText xml:space="preserve"> HYPERLINK \l "_Toc486857509" </w:instrText>
      </w:r>
      <w:r>
        <w:fldChar w:fldCharType="separate"/>
      </w:r>
      <w:r>
        <w:rPr>
          <w:rStyle w:val="29"/>
        </w:rPr>
        <w:t>三、研究生调查数据分析</w:t>
      </w:r>
      <w:r>
        <w:tab/>
      </w:r>
      <w:r>
        <w:fldChar w:fldCharType="begin"/>
      </w:r>
      <w:r>
        <w:instrText xml:space="preserve"> PAGEREF _Toc486857509 \h </w:instrText>
      </w:r>
      <w:r>
        <w:fldChar w:fldCharType="separate"/>
      </w:r>
      <w:r>
        <w:t>42</w:t>
      </w:r>
      <w:r>
        <w:fldChar w:fldCharType="end"/>
      </w:r>
      <w:r>
        <w:fldChar w:fldCharType="end"/>
      </w:r>
    </w:p>
    <w:p>
      <w:pPr>
        <w:pStyle w:val="12"/>
        <w:ind w:left="1464"/>
        <w:rPr>
          <w:iCs w:val="0"/>
          <w:sz w:val="21"/>
          <w:szCs w:val="22"/>
        </w:rPr>
      </w:pPr>
      <w:r>
        <w:fldChar w:fldCharType="begin"/>
      </w:r>
      <w:r>
        <w:instrText xml:space="preserve"> HYPERLINK \l "_Toc486857510" </w:instrText>
      </w:r>
      <w:r>
        <w:fldChar w:fldCharType="separate"/>
      </w:r>
      <w:r>
        <w:rPr>
          <w:rStyle w:val="29"/>
        </w:rPr>
        <w:t>（一）研究生专业培养及就业创业教育反馈</w:t>
      </w:r>
      <w:r>
        <w:tab/>
      </w:r>
      <w:r>
        <w:fldChar w:fldCharType="begin"/>
      </w:r>
      <w:r>
        <w:instrText xml:space="preserve"> PAGEREF _Toc486857510 \h </w:instrText>
      </w:r>
      <w:r>
        <w:fldChar w:fldCharType="separate"/>
      </w:r>
      <w:r>
        <w:t>42</w:t>
      </w:r>
      <w:r>
        <w:fldChar w:fldCharType="end"/>
      </w:r>
      <w:r>
        <w:fldChar w:fldCharType="end"/>
      </w:r>
    </w:p>
    <w:p>
      <w:pPr>
        <w:pStyle w:val="12"/>
        <w:ind w:left="1464"/>
        <w:rPr>
          <w:iCs w:val="0"/>
          <w:sz w:val="21"/>
          <w:szCs w:val="22"/>
        </w:rPr>
      </w:pPr>
      <w:r>
        <w:fldChar w:fldCharType="begin"/>
      </w:r>
      <w:r>
        <w:instrText xml:space="preserve"> HYPERLINK \l "_Toc486857518" </w:instrText>
      </w:r>
      <w:r>
        <w:fldChar w:fldCharType="separate"/>
      </w:r>
      <w:r>
        <w:rPr>
          <w:rStyle w:val="29"/>
        </w:rPr>
        <w:t>（二）研究生就业结果</w:t>
      </w:r>
      <w:r>
        <w:tab/>
      </w:r>
      <w:r>
        <w:fldChar w:fldCharType="begin"/>
      </w:r>
      <w:r>
        <w:instrText xml:space="preserve"> PAGEREF _Toc486857518 \h </w:instrText>
      </w:r>
      <w:r>
        <w:fldChar w:fldCharType="separate"/>
      </w:r>
      <w:r>
        <w:t>60</w:t>
      </w:r>
      <w:r>
        <w:fldChar w:fldCharType="end"/>
      </w:r>
      <w:r>
        <w:fldChar w:fldCharType="end"/>
      </w:r>
    </w:p>
    <w:p>
      <w:pPr>
        <w:pStyle w:val="12"/>
        <w:ind w:left="1464"/>
        <w:rPr>
          <w:iCs w:val="0"/>
          <w:sz w:val="21"/>
          <w:szCs w:val="22"/>
        </w:rPr>
      </w:pPr>
      <w:r>
        <w:fldChar w:fldCharType="begin"/>
      </w:r>
      <w:r>
        <w:instrText xml:space="preserve"> HYPERLINK \l "_Toc486857530" </w:instrText>
      </w:r>
      <w:r>
        <w:fldChar w:fldCharType="separate"/>
      </w:r>
      <w:r>
        <w:rPr>
          <w:rStyle w:val="29"/>
        </w:rPr>
        <w:t>（三）研究生求职过程</w:t>
      </w:r>
      <w:r>
        <w:tab/>
      </w:r>
      <w:r>
        <w:fldChar w:fldCharType="begin"/>
      </w:r>
      <w:r>
        <w:instrText xml:space="preserve"> PAGEREF _Toc486857530 \h </w:instrText>
      </w:r>
      <w:r>
        <w:fldChar w:fldCharType="separate"/>
      </w:r>
      <w:r>
        <w:t>77</w:t>
      </w:r>
      <w:r>
        <w:fldChar w:fldCharType="end"/>
      </w:r>
      <w:r>
        <w:fldChar w:fldCharType="end"/>
      </w:r>
    </w:p>
    <w:p>
      <w:pPr>
        <w:pStyle w:val="23"/>
        <w:rPr>
          <w:b w:val="0"/>
          <w:smallCaps w:val="0"/>
          <w:sz w:val="21"/>
          <w:szCs w:val="22"/>
        </w:rPr>
      </w:pPr>
      <w:r>
        <w:fldChar w:fldCharType="begin"/>
      </w:r>
      <w:r>
        <w:instrText xml:space="preserve"> HYPERLINK \l "_Toc486857537" </w:instrText>
      </w:r>
      <w:r>
        <w:fldChar w:fldCharType="separate"/>
      </w:r>
      <w:r>
        <w:rPr>
          <w:rStyle w:val="29"/>
        </w:rPr>
        <w:t>四、自主创业</w:t>
      </w:r>
      <w:r>
        <w:tab/>
      </w:r>
      <w:r>
        <w:fldChar w:fldCharType="begin"/>
      </w:r>
      <w:r>
        <w:instrText xml:space="preserve"> PAGEREF _Toc486857537 \h </w:instrText>
      </w:r>
      <w:r>
        <w:fldChar w:fldCharType="separate"/>
      </w:r>
      <w:r>
        <w:t>80</w:t>
      </w:r>
      <w:r>
        <w:fldChar w:fldCharType="end"/>
      </w:r>
      <w:r>
        <w:fldChar w:fldCharType="end"/>
      </w:r>
    </w:p>
    <w:p>
      <w:pPr>
        <w:pStyle w:val="12"/>
        <w:ind w:left="1464"/>
        <w:rPr>
          <w:iCs w:val="0"/>
          <w:sz w:val="21"/>
          <w:szCs w:val="22"/>
        </w:rPr>
      </w:pPr>
      <w:r>
        <w:fldChar w:fldCharType="begin"/>
      </w:r>
      <w:r>
        <w:instrText xml:space="preserve"> HYPERLINK \l "_Toc486857538" </w:instrText>
      </w:r>
      <w:r>
        <w:fldChar w:fldCharType="separate"/>
      </w:r>
      <w:r>
        <w:rPr>
          <w:rStyle w:val="29"/>
        </w:rPr>
        <w:t>（一）自主创业的原因</w:t>
      </w:r>
      <w:r>
        <w:tab/>
      </w:r>
      <w:r>
        <w:fldChar w:fldCharType="begin"/>
      </w:r>
      <w:r>
        <w:instrText xml:space="preserve"> PAGEREF _Toc486857538 \h </w:instrText>
      </w:r>
      <w:r>
        <w:fldChar w:fldCharType="separate"/>
      </w:r>
      <w:r>
        <w:t>80</w:t>
      </w:r>
      <w:r>
        <w:fldChar w:fldCharType="end"/>
      </w:r>
      <w:r>
        <w:fldChar w:fldCharType="end"/>
      </w:r>
    </w:p>
    <w:p>
      <w:pPr>
        <w:pStyle w:val="12"/>
        <w:ind w:left="1464"/>
        <w:rPr>
          <w:iCs w:val="0"/>
          <w:sz w:val="21"/>
          <w:szCs w:val="22"/>
        </w:rPr>
      </w:pPr>
      <w:r>
        <w:fldChar w:fldCharType="begin"/>
      </w:r>
      <w:r>
        <w:instrText xml:space="preserve"> HYPERLINK \l "_Toc486857539" </w:instrText>
      </w:r>
      <w:r>
        <w:fldChar w:fldCharType="separate"/>
      </w:r>
      <w:r>
        <w:rPr>
          <w:rStyle w:val="29"/>
        </w:rPr>
        <w:t>（二）自主创业的地区</w:t>
      </w:r>
      <w:r>
        <w:tab/>
      </w:r>
      <w:r>
        <w:fldChar w:fldCharType="begin"/>
      </w:r>
      <w:r>
        <w:instrText xml:space="preserve"> PAGEREF _Toc486857539 \h </w:instrText>
      </w:r>
      <w:r>
        <w:fldChar w:fldCharType="separate"/>
      </w:r>
      <w:r>
        <w:t>81</w:t>
      </w:r>
      <w:r>
        <w:fldChar w:fldCharType="end"/>
      </w:r>
      <w:r>
        <w:fldChar w:fldCharType="end"/>
      </w:r>
    </w:p>
    <w:p>
      <w:pPr>
        <w:pStyle w:val="12"/>
        <w:ind w:left="1464"/>
        <w:rPr>
          <w:iCs w:val="0"/>
          <w:sz w:val="21"/>
          <w:szCs w:val="22"/>
        </w:rPr>
      </w:pPr>
      <w:r>
        <w:fldChar w:fldCharType="begin"/>
      </w:r>
      <w:r>
        <w:instrText xml:space="preserve"> HYPERLINK \l "_Toc486857540" </w:instrText>
      </w:r>
      <w:r>
        <w:fldChar w:fldCharType="separate"/>
      </w:r>
      <w:r>
        <w:rPr>
          <w:rStyle w:val="29"/>
        </w:rPr>
        <w:t>（三）自主创业的行业</w:t>
      </w:r>
      <w:r>
        <w:tab/>
      </w:r>
      <w:r>
        <w:fldChar w:fldCharType="begin"/>
      </w:r>
      <w:r>
        <w:instrText xml:space="preserve"> PAGEREF _Toc486857540 \h </w:instrText>
      </w:r>
      <w:r>
        <w:fldChar w:fldCharType="separate"/>
      </w:r>
      <w:r>
        <w:t>82</w:t>
      </w:r>
      <w:r>
        <w:fldChar w:fldCharType="end"/>
      </w:r>
      <w:r>
        <w:fldChar w:fldCharType="end"/>
      </w:r>
    </w:p>
    <w:p>
      <w:pPr>
        <w:pStyle w:val="12"/>
        <w:ind w:left="1464"/>
        <w:rPr>
          <w:iCs w:val="0"/>
          <w:sz w:val="21"/>
          <w:szCs w:val="22"/>
        </w:rPr>
      </w:pPr>
      <w:r>
        <w:fldChar w:fldCharType="begin"/>
      </w:r>
      <w:r>
        <w:instrText xml:space="preserve"> HYPERLINK \l "_Toc486857541" </w:instrText>
      </w:r>
      <w:r>
        <w:fldChar w:fldCharType="separate"/>
      </w:r>
      <w:r>
        <w:rPr>
          <w:rStyle w:val="29"/>
        </w:rPr>
        <w:t>（四）创业工作与所学专业的相关程度</w:t>
      </w:r>
      <w:r>
        <w:tab/>
      </w:r>
      <w:r>
        <w:fldChar w:fldCharType="begin"/>
      </w:r>
      <w:r>
        <w:instrText xml:space="preserve"> PAGEREF _Toc486857541 \h </w:instrText>
      </w:r>
      <w:r>
        <w:fldChar w:fldCharType="separate"/>
      </w:r>
      <w:r>
        <w:t>83</w:t>
      </w:r>
      <w:r>
        <w:fldChar w:fldCharType="end"/>
      </w:r>
      <w:r>
        <w:fldChar w:fldCharType="end"/>
      </w:r>
    </w:p>
    <w:p>
      <w:pPr>
        <w:pStyle w:val="12"/>
        <w:ind w:left="1464"/>
        <w:rPr>
          <w:iCs w:val="0"/>
          <w:sz w:val="21"/>
          <w:szCs w:val="22"/>
        </w:rPr>
      </w:pPr>
      <w:r>
        <w:fldChar w:fldCharType="begin"/>
      </w:r>
      <w:r>
        <w:instrText xml:space="preserve"> HYPERLINK \l "_Toc486857542" </w:instrText>
      </w:r>
      <w:r>
        <w:fldChar w:fldCharType="separate"/>
      </w:r>
      <w:r>
        <w:rPr>
          <w:rStyle w:val="29"/>
        </w:rPr>
        <w:t>（五）创业项目的筹资途径</w:t>
      </w:r>
      <w:r>
        <w:tab/>
      </w:r>
      <w:r>
        <w:fldChar w:fldCharType="begin"/>
      </w:r>
      <w:r>
        <w:instrText xml:space="preserve"> PAGEREF _Toc486857542 \h </w:instrText>
      </w:r>
      <w:r>
        <w:fldChar w:fldCharType="separate"/>
      </w:r>
      <w:r>
        <w:t>83</w:t>
      </w:r>
      <w:r>
        <w:fldChar w:fldCharType="end"/>
      </w:r>
      <w:r>
        <w:fldChar w:fldCharType="end"/>
      </w:r>
    </w:p>
    <w:p>
      <w:pPr>
        <w:pStyle w:val="12"/>
        <w:ind w:left="1464"/>
        <w:rPr>
          <w:iCs w:val="0"/>
          <w:sz w:val="21"/>
          <w:szCs w:val="22"/>
        </w:rPr>
      </w:pPr>
      <w:r>
        <w:fldChar w:fldCharType="begin"/>
      </w:r>
      <w:r>
        <w:instrText xml:space="preserve"> HYPERLINK \l "_Toc486857543" </w:instrText>
      </w:r>
      <w:r>
        <w:fldChar w:fldCharType="separate"/>
      </w:r>
      <w:r>
        <w:rPr>
          <w:rStyle w:val="29"/>
        </w:rPr>
        <w:t>（六）创业组织经营时间及人员规模</w:t>
      </w:r>
      <w:r>
        <w:tab/>
      </w:r>
      <w:r>
        <w:fldChar w:fldCharType="begin"/>
      </w:r>
      <w:r>
        <w:instrText xml:space="preserve"> PAGEREF _Toc486857543 \h </w:instrText>
      </w:r>
      <w:r>
        <w:fldChar w:fldCharType="separate"/>
      </w:r>
      <w:r>
        <w:t>84</w:t>
      </w:r>
      <w:r>
        <w:fldChar w:fldCharType="end"/>
      </w:r>
      <w:r>
        <w:fldChar w:fldCharType="end"/>
      </w:r>
    </w:p>
    <w:p>
      <w:pPr>
        <w:pStyle w:val="12"/>
        <w:ind w:left="1464"/>
        <w:rPr>
          <w:iCs w:val="0"/>
          <w:sz w:val="21"/>
          <w:szCs w:val="22"/>
        </w:rPr>
      </w:pPr>
      <w:r>
        <w:fldChar w:fldCharType="begin"/>
      </w:r>
      <w:r>
        <w:instrText xml:space="preserve"> HYPERLINK \l "_Toc486857544" </w:instrText>
      </w:r>
      <w:r>
        <w:fldChar w:fldCharType="separate"/>
      </w:r>
      <w:r>
        <w:rPr>
          <w:rStyle w:val="29"/>
        </w:rPr>
        <w:t>（七）创业项目投资额及实现利润额</w:t>
      </w:r>
      <w:r>
        <w:tab/>
      </w:r>
      <w:r>
        <w:fldChar w:fldCharType="begin"/>
      </w:r>
      <w:r>
        <w:instrText xml:space="preserve"> PAGEREF _Toc486857544 \h </w:instrText>
      </w:r>
      <w:r>
        <w:fldChar w:fldCharType="separate"/>
      </w:r>
      <w:r>
        <w:t>84</w:t>
      </w:r>
      <w:r>
        <w:fldChar w:fldCharType="end"/>
      </w:r>
      <w:r>
        <w:fldChar w:fldCharType="end"/>
      </w:r>
    </w:p>
    <w:p>
      <w:pPr>
        <w:pStyle w:val="12"/>
        <w:ind w:left="1464"/>
        <w:rPr>
          <w:iCs w:val="0"/>
          <w:sz w:val="21"/>
          <w:szCs w:val="22"/>
        </w:rPr>
      </w:pPr>
      <w:r>
        <w:fldChar w:fldCharType="begin"/>
      </w:r>
      <w:r>
        <w:instrText xml:space="preserve"> HYPERLINK \l "_Toc486857545" </w:instrText>
      </w:r>
      <w:r>
        <w:fldChar w:fldCharType="separate"/>
      </w:r>
      <w:r>
        <w:rPr>
          <w:rStyle w:val="29"/>
        </w:rPr>
        <w:t>（八）创业过程中遇到的问题</w:t>
      </w:r>
      <w:r>
        <w:tab/>
      </w:r>
      <w:r>
        <w:fldChar w:fldCharType="begin"/>
      </w:r>
      <w:r>
        <w:instrText xml:space="preserve"> PAGEREF _Toc486857545 \h </w:instrText>
      </w:r>
      <w:r>
        <w:fldChar w:fldCharType="separate"/>
      </w:r>
      <w:r>
        <w:t>85</w:t>
      </w:r>
      <w:r>
        <w:fldChar w:fldCharType="end"/>
      </w:r>
      <w:r>
        <w:fldChar w:fldCharType="end"/>
      </w:r>
    </w:p>
    <w:p>
      <w:pPr>
        <w:sectPr>
          <w:footerReference r:id="rId5" w:type="default"/>
          <w:footerReference r:id="rId6" w:type="even"/>
          <w:type w:val="oddPage"/>
          <w:pgSz w:w="11906" w:h="16838"/>
          <w:pgMar w:top="1418" w:right="1134" w:bottom="1418" w:left="1134" w:header="851" w:footer="992" w:gutter="0"/>
          <w:pgBorders w:offsetFrom="page">
            <w:bottom w:val="single" w:color="auto" w:sz="4" w:space="24"/>
          </w:pgBorders>
          <w:pgNumType w:fmt="lowerRoman" w:start="1"/>
          <w:cols w:space="425" w:num="1"/>
          <w:docGrid w:type="lines" w:linePitch="326" w:charSpace="0"/>
        </w:sectPr>
      </w:pPr>
      <w:r>
        <w:rPr>
          <w:sz w:val="18"/>
          <w:szCs w:val="18"/>
        </w:rPr>
        <w:fldChar w:fldCharType="end"/>
      </w:r>
    </w:p>
    <w:p>
      <w:pPr>
        <w:pStyle w:val="44"/>
        <w:spacing w:before="624" w:after="936"/>
      </w:pPr>
      <w:bookmarkStart w:id="2" w:name="_Toc435125875"/>
      <w:r>
        <w:br w:type="page"/>
      </w:r>
      <w:bookmarkStart w:id="3" w:name="_Toc373928893"/>
      <w:bookmarkStart w:id="4" w:name="_Toc470100894"/>
      <w:bookmarkStart w:id="5" w:name="_Toc435125864"/>
      <w:bookmarkStart w:id="6" w:name="_Toc486857459"/>
      <w:bookmarkStart w:id="7" w:name="_Toc483496454"/>
      <w:bookmarkStart w:id="8" w:name="_Toc406677037"/>
      <w:r>
        <w:rPr>
          <w:b w:val="0"/>
        </w:rPr>
        <mc:AlternateContent>
          <mc:Choice Requires="wps">
            <w:drawing>
              <wp:anchor distT="0" distB="0" distL="114300" distR="114300" simplePos="0" relativeHeight="251661312" behindDoc="0" locked="0" layoutInCell="1" allowOverlap="1">
                <wp:simplePos x="0" y="0"/>
                <wp:positionH relativeFrom="column">
                  <wp:posOffset>-704850</wp:posOffset>
                </wp:positionH>
                <wp:positionV relativeFrom="paragraph">
                  <wp:posOffset>904240</wp:posOffset>
                </wp:positionV>
                <wp:extent cx="7677150" cy="57150"/>
                <wp:effectExtent l="0" t="0" r="0" b="0"/>
                <wp:wrapNone/>
                <wp:docPr id="64" name="矩形 11"/>
                <wp:cNvGraphicFramePr/>
                <a:graphic xmlns:a="http://schemas.openxmlformats.org/drawingml/2006/main">
                  <a:graphicData uri="http://schemas.microsoft.com/office/word/2010/wordprocessingShape">
                    <wps:wsp>
                      <wps:cNvSpPr>
                        <a:spLocks noChangeArrowheads="1"/>
                      </wps:cNvSpPr>
                      <wps:spPr bwMode="auto">
                        <a:xfrm>
                          <a:off x="0" y="0"/>
                          <a:ext cx="7677150" cy="57150"/>
                        </a:xfrm>
                        <a:prstGeom prst="rect">
                          <a:avLst/>
                        </a:prstGeom>
                        <a:gradFill rotWithShape="1">
                          <a:gsLst>
                            <a:gs pos="0">
                              <a:srgbClr val="4BACC6">
                                <a:lumMod val="20000"/>
                                <a:lumOff val="80000"/>
                              </a:srgbClr>
                            </a:gs>
                            <a:gs pos="100000">
                              <a:srgbClr val="4BACC6">
                                <a:lumMod val="75000"/>
                              </a:srgbClr>
                            </a:gs>
                          </a:gsLst>
                          <a:lin ang="0" scaled="1"/>
                        </a:gradFill>
                        <a:ln>
                          <a:noFill/>
                        </a:ln>
                        <a:effectLst/>
                      </wps:spPr>
                      <wps:bodyPr rot="0" vert="horz" wrap="square" lIns="91440" tIns="45720" rIns="91440" bIns="45720" anchor="t" anchorCtr="0" upright="1">
                        <a:noAutofit/>
                      </wps:bodyPr>
                    </wps:wsp>
                  </a:graphicData>
                </a:graphic>
              </wp:anchor>
            </w:drawing>
          </mc:Choice>
          <mc:Fallback>
            <w:pict>
              <v:rect id="矩形 11" o:spid="_x0000_s1026" o:spt="1" style="position:absolute;left:0pt;margin-left:-55.5pt;margin-top:71.2pt;height:4.5pt;width:604.5pt;z-index:251661312;mso-width-relative:page;mso-height-relative:page;" fillcolor="#DBEEF4" filled="t" stroked="f" coordsize="21600,21600" o:gfxdata="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8O04&#10;hdwAAAANAQAADwAAAAAAAAABACAAAAAiAAAAZHJzL2Rvd25yZXYueG1sUEsBAhQAFAAAAAgAh07i&#10;QHJCtj1XAgAAxwQAAA4AAAAAAAAAAQAgAAAAKwEAAGRycy9lMm9Eb2MueG1sUEsFBgAAAAAGAAYA&#10;WQEAAPQFAAAAAA==&#10;">
                <v:fill type="gradient" on="t" color2="#31859C" angle="90" focus="100%" focussize="0,0" rotate="t"/>
                <v:stroke on="f"/>
                <v:imagedata o:title=""/>
                <o:lock v:ext="edit" aspectratio="f"/>
              </v:rect>
            </w:pict>
          </mc:Fallback>
        </mc:AlternateContent>
      </w:r>
      <w:r>
        <w:rPr>
          <w:rFonts w:hint="eastAsia"/>
        </w:rPr>
        <w:t>第一章　</w:t>
      </w:r>
      <w:bookmarkEnd w:id="3"/>
      <w:r>
        <w:rPr>
          <w:rFonts w:hint="eastAsia"/>
        </w:rPr>
        <w:t>背景与概况</w:t>
      </w:r>
      <w:bookmarkEnd w:id="4"/>
      <w:bookmarkEnd w:id="5"/>
      <w:bookmarkEnd w:id="6"/>
      <w:bookmarkEnd w:id="7"/>
    </w:p>
    <w:p>
      <w:pPr>
        <w:pStyle w:val="47"/>
        <w:spacing w:before="312" w:after="156"/>
      </w:pPr>
      <w:bookmarkStart w:id="9" w:name="_Toc470100895"/>
      <w:bookmarkStart w:id="10" w:name="_Toc483496455"/>
      <w:bookmarkStart w:id="11" w:name="_Toc435125865"/>
      <w:bookmarkStart w:id="12" w:name="_Toc486857460"/>
      <w:r>
        <w:rPr>
          <w:rFonts w:hint="eastAsia"/>
        </w:rPr>
        <w:t>一、背景</w:t>
      </w:r>
      <w:bookmarkEnd w:id="9"/>
      <w:bookmarkEnd w:id="10"/>
      <w:bookmarkEnd w:id="11"/>
      <w:bookmarkEnd w:id="12"/>
    </w:p>
    <w:p>
      <w:pPr>
        <w:widowControl/>
        <w:spacing w:line="560" w:lineRule="exact"/>
        <w:ind w:firstLine="480" w:firstLineChars="200"/>
        <w:jc w:val="left"/>
        <w:rPr>
          <w:rFonts w:ascii="宋体" w:hAnsi="宋体" w:eastAsia="宋体"/>
          <w:bCs/>
          <w:szCs w:val="30"/>
        </w:rPr>
      </w:pPr>
      <w:bookmarkStart w:id="13" w:name="_Toc483496456"/>
      <w:bookmarkStart w:id="14" w:name="_Toc470100896"/>
      <w:bookmarkStart w:id="15" w:name="_Toc486857461"/>
      <w:r>
        <w:rPr>
          <w:rFonts w:hint="eastAsia" w:ascii="宋体" w:hAnsi="宋体" w:eastAsia="宋体" w:cs="宋体"/>
          <w:kern w:val="0"/>
          <w:szCs w:val="30"/>
        </w:rPr>
        <w:t>高校毕业生就业事关经济发展和民生改善大局，关乎社会安定稳定，党中央、国务院高度重视。发布高校毕业生就业质量年度报告，建立健全就业质量反馈机制，是及时回应社会关切、接受社会监督的一项重要工作。</w:t>
      </w:r>
      <w:r>
        <w:rPr>
          <w:rFonts w:hint="eastAsia" w:ascii="宋体" w:hAnsi="宋体" w:eastAsia="宋体"/>
          <w:bCs/>
          <w:szCs w:val="30"/>
        </w:rPr>
        <w:t>根据教育部《关于做好2015年高校毕业生就业质量年度报告编制发布工作的通知》（教学司函[2015]44号）和《关于做好2017届全国普通高等学校毕业生就业创业工作的通知》（教学[2016]11号）要求，各地各高校要在每年年底前编制和发布就业质量年度报告，科学、客观地反映高校毕业生就业创业状况和特点。</w:t>
      </w:r>
    </w:p>
    <w:p>
      <w:pPr>
        <w:widowControl/>
        <w:spacing w:line="560" w:lineRule="exact"/>
        <w:ind w:firstLine="480" w:firstLineChars="200"/>
        <w:jc w:val="left"/>
        <w:rPr>
          <w:rFonts w:ascii="宋体" w:hAnsi="宋体" w:eastAsia="宋体"/>
          <w:bCs/>
          <w:szCs w:val="30"/>
        </w:rPr>
      </w:pPr>
      <w:r>
        <w:rPr>
          <w:rFonts w:hint="eastAsia" w:ascii="宋体" w:hAnsi="宋体" w:eastAsia="宋体"/>
          <w:bCs/>
          <w:szCs w:val="30"/>
        </w:rPr>
        <w:t>2017年，为继续响应教育部和北京市教委要求，进一步建立健全毕业生就业创业状况反馈机制，本校委托北京高校毕业生就业指导中心开展毕业生就业创业状况调查和</w:t>
      </w:r>
      <w:r>
        <w:rPr>
          <w:rFonts w:hint="eastAsia" w:ascii="Times New Roman" w:hAnsi="Times New Roman" w:eastAsia="宋体"/>
          <w:szCs w:val="24"/>
        </w:rPr>
        <w:t>用人单位用人需求调研</w:t>
      </w:r>
      <w:r>
        <w:rPr>
          <w:rFonts w:hint="eastAsia" w:ascii="宋体" w:hAnsi="宋体" w:eastAsia="宋体"/>
          <w:bCs/>
          <w:szCs w:val="30"/>
        </w:rPr>
        <w:t>。</w:t>
      </w:r>
      <w:r>
        <w:rPr>
          <w:rFonts w:ascii="宋体" w:hAnsi="宋体" w:eastAsia="宋体"/>
          <w:bCs/>
          <w:szCs w:val="30"/>
        </w:rPr>
        <w:t>北京高校毕业生就业指导中心</w:t>
      </w:r>
      <w:r>
        <w:rPr>
          <w:rFonts w:hint="eastAsia" w:ascii="宋体" w:hAnsi="宋体" w:eastAsia="宋体"/>
          <w:bCs/>
          <w:szCs w:val="30"/>
        </w:rPr>
        <w:t>在市教委的领导下，</w:t>
      </w:r>
      <w:r>
        <w:rPr>
          <w:rFonts w:ascii="宋体" w:hAnsi="宋体" w:eastAsia="宋体"/>
          <w:bCs/>
          <w:szCs w:val="30"/>
        </w:rPr>
        <w:t>自2011年起连续七年在全市范围内组织开展北京</w:t>
      </w:r>
      <w:r>
        <w:rPr>
          <w:rFonts w:hint="eastAsia" w:ascii="宋体" w:hAnsi="宋体" w:eastAsia="宋体"/>
          <w:bCs/>
          <w:szCs w:val="30"/>
        </w:rPr>
        <w:t>地区</w:t>
      </w:r>
      <w:r>
        <w:rPr>
          <w:rFonts w:ascii="宋体" w:hAnsi="宋体" w:eastAsia="宋体"/>
          <w:bCs/>
          <w:szCs w:val="30"/>
        </w:rPr>
        <w:t>高校毕业生就业创业状况及用人单位需求状况调查，形成了对北京地区高校毕业生就业创业整体状况和北京地区人力资源市场需求情况调研充分、数据翔实、具有公信力的调查报告，</w:t>
      </w:r>
      <w:r>
        <w:rPr>
          <w:rFonts w:hint="eastAsia" w:ascii="宋体" w:hAnsi="宋体" w:eastAsia="宋体"/>
          <w:bCs/>
          <w:szCs w:val="30"/>
        </w:rPr>
        <w:t>帮助</w:t>
      </w:r>
      <w:r>
        <w:rPr>
          <w:rFonts w:ascii="宋体" w:hAnsi="宋体" w:eastAsia="宋体"/>
          <w:bCs/>
          <w:szCs w:val="30"/>
        </w:rPr>
        <w:t>各级就业主管部门以及各高校准确研判并全面把握北京地区高校毕业生就业创业工作的整体形势，</w:t>
      </w:r>
      <w:r>
        <w:rPr>
          <w:rFonts w:hint="eastAsia" w:ascii="宋体" w:hAnsi="宋体" w:eastAsia="宋体"/>
          <w:bCs/>
          <w:szCs w:val="30"/>
        </w:rPr>
        <w:t>推动</w:t>
      </w:r>
      <w:r>
        <w:rPr>
          <w:rFonts w:ascii="宋体" w:hAnsi="宋体" w:eastAsia="宋体"/>
          <w:bCs/>
          <w:szCs w:val="30"/>
        </w:rPr>
        <w:t>北京地区就业创业服务与高等教育教学改革工作。同时，受部分高校委托，北京高校毕业生就业指导中心从2012年开始，陆续协助高校</w:t>
      </w:r>
      <w:r>
        <w:rPr>
          <w:rFonts w:hint="eastAsia" w:ascii="宋体" w:hAnsi="宋体" w:eastAsia="宋体"/>
          <w:bCs/>
          <w:szCs w:val="30"/>
        </w:rPr>
        <w:t>编制</w:t>
      </w:r>
      <w:r>
        <w:rPr>
          <w:rFonts w:ascii="宋体" w:hAnsi="宋体" w:eastAsia="宋体"/>
          <w:bCs/>
          <w:szCs w:val="30"/>
        </w:rPr>
        <w:t>高校毕业生就业质量</w:t>
      </w:r>
      <w:r>
        <w:rPr>
          <w:rFonts w:hint="eastAsia" w:ascii="宋体" w:hAnsi="宋体" w:eastAsia="宋体"/>
          <w:bCs/>
          <w:szCs w:val="30"/>
        </w:rPr>
        <w:t>报告</w:t>
      </w:r>
      <w:r>
        <w:rPr>
          <w:rFonts w:ascii="宋体" w:hAnsi="宋体" w:eastAsia="宋体"/>
          <w:bCs/>
          <w:szCs w:val="30"/>
        </w:rPr>
        <w:t>，并以全面准确的数据信息、科学完善的数据分析得到相关高校的高度认可和好评。</w:t>
      </w:r>
      <w:r>
        <w:rPr>
          <w:rFonts w:ascii="宋体" w:hAnsi="宋体" w:eastAsia="宋体"/>
          <w:bCs/>
          <w:szCs w:val="30"/>
        </w:rPr>
        <w:br w:type="textWrapping"/>
      </w:r>
      <w:r>
        <w:rPr>
          <w:rFonts w:ascii="宋体" w:hAnsi="宋体" w:eastAsia="宋体"/>
          <w:bCs/>
          <w:szCs w:val="30"/>
        </w:rPr>
        <w:t xml:space="preserve">    </w:t>
      </w:r>
      <w:r>
        <w:rPr>
          <w:rFonts w:hint="eastAsia" w:ascii="宋体" w:hAnsi="宋体" w:eastAsia="宋体"/>
          <w:bCs/>
          <w:szCs w:val="30"/>
        </w:rPr>
        <w:t>本校2017届</w:t>
      </w:r>
      <w:r>
        <w:rPr>
          <w:rFonts w:ascii="宋体" w:hAnsi="宋体" w:eastAsia="宋体"/>
          <w:bCs/>
          <w:szCs w:val="30"/>
        </w:rPr>
        <w:t>毕业生就业质量调研工作</w:t>
      </w:r>
      <w:r>
        <w:rPr>
          <w:rFonts w:hint="eastAsia" w:ascii="宋体" w:hAnsi="宋体" w:eastAsia="宋体"/>
          <w:bCs/>
          <w:szCs w:val="30"/>
        </w:rPr>
        <w:t>于2017年</w:t>
      </w:r>
      <w:r>
        <w:rPr>
          <w:rFonts w:ascii="宋体" w:hAnsi="宋体" w:eastAsia="宋体"/>
          <w:bCs/>
          <w:szCs w:val="30"/>
        </w:rPr>
        <w:t>3月</w:t>
      </w:r>
      <w:r>
        <w:rPr>
          <w:rFonts w:hint="eastAsia" w:ascii="宋体" w:hAnsi="宋体" w:eastAsia="宋体"/>
          <w:bCs/>
          <w:szCs w:val="30"/>
        </w:rPr>
        <w:t>启动</w:t>
      </w:r>
      <w:r>
        <w:rPr>
          <w:rFonts w:ascii="宋体" w:hAnsi="宋体" w:eastAsia="宋体"/>
          <w:bCs/>
          <w:szCs w:val="30"/>
        </w:rPr>
        <w:t>。为了让调查能够充分反映毕业生当年就业质量状况，回应社会和高校关注，</w:t>
      </w:r>
      <w:r>
        <w:rPr>
          <w:rFonts w:hint="eastAsia" w:ascii="宋体" w:hAnsi="宋体" w:eastAsia="宋体"/>
          <w:bCs/>
          <w:szCs w:val="30"/>
        </w:rPr>
        <w:t>3</w:t>
      </w:r>
      <w:r>
        <w:rPr>
          <w:rFonts w:ascii="宋体" w:hAnsi="宋体" w:eastAsia="宋体"/>
          <w:bCs/>
          <w:szCs w:val="30"/>
        </w:rPr>
        <w:t>月底，我们</w:t>
      </w:r>
      <w:r>
        <w:rPr>
          <w:rFonts w:hint="eastAsia" w:ascii="宋体" w:hAnsi="宋体" w:eastAsia="宋体"/>
          <w:bCs/>
          <w:szCs w:val="30"/>
        </w:rPr>
        <w:t>部分</w:t>
      </w:r>
      <w:r>
        <w:rPr>
          <w:rFonts w:ascii="宋体" w:hAnsi="宋体" w:eastAsia="宋体"/>
          <w:bCs/>
          <w:szCs w:val="30"/>
        </w:rPr>
        <w:t>调整了毕业生调查问卷；</w:t>
      </w:r>
      <w:r>
        <w:rPr>
          <w:rFonts w:hint="eastAsia" w:ascii="宋体" w:hAnsi="宋体" w:eastAsia="宋体"/>
          <w:bCs/>
          <w:szCs w:val="30"/>
        </w:rPr>
        <w:t>4月中下旬，全面启动毕业生及用人单位调查，并分别于</w:t>
      </w:r>
      <w:r>
        <w:rPr>
          <w:rFonts w:ascii="宋体" w:hAnsi="宋体" w:eastAsia="宋体"/>
          <w:bCs/>
          <w:szCs w:val="30"/>
        </w:rPr>
        <w:t>6月及1</w:t>
      </w:r>
      <w:r>
        <w:rPr>
          <w:rFonts w:hint="eastAsia" w:ascii="宋体" w:hAnsi="宋体" w:eastAsia="宋体"/>
          <w:bCs/>
          <w:szCs w:val="30"/>
        </w:rPr>
        <w:t>0</w:t>
      </w:r>
      <w:r>
        <w:rPr>
          <w:rFonts w:ascii="宋体" w:hAnsi="宋体" w:eastAsia="宋体"/>
          <w:bCs/>
          <w:szCs w:val="30"/>
        </w:rPr>
        <w:t>月，完成毕业生及用人单位调研工作；12月，</w:t>
      </w:r>
      <w:r>
        <w:rPr>
          <w:rFonts w:hint="eastAsia" w:ascii="宋体" w:hAnsi="宋体" w:eastAsia="宋体"/>
          <w:bCs/>
          <w:szCs w:val="30"/>
        </w:rPr>
        <w:t>基于</w:t>
      </w:r>
      <w:r>
        <w:rPr>
          <w:rFonts w:ascii="宋体" w:hAnsi="宋体" w:eastAsia="宋体"/>
          <w:bCs/>
          <w:szCs w:val="30"/>
        </w:rPr>
        <w:t>对调研数据</w:t>
      </w:r>
      <w:r>
        <w:rPr>
          <w:rFonts w:hint="eastAsia" w:ascii="宋体" w:hAnsi="宋体" w:eastAsia="宋体"/>
          <w:bCs/>
          <w:szCs w:val="30"/>
        </w:rPr>
        <w:t>的</w:t>
      </w:r>
      <w:r>
        <w:rPr>
          <w:rFonts w:ascii="宋体" w:hAnsi="宋体" w:eastAsia="宋体"/>
          <w:bCs/>
          <w:szCs w:val="30"/>
        </w:rPr>
        <w:t>科学统计分析，形成学校毕业生就业质量年度报告。</w:t>
      </w:r>
    </w:p>
    <w:p>
      <w:pPr>
        <w:pStyle w:val="47"/>
        <w:spacing w:before="312" w:after="156"/>
      </w:pPr>
      <w:r>
        <w:t>二、概况</w:t>
      </w:r>
      <w:bookmarkEnd w:id="13"/>
      <w:bookmarkEnd w:id="14"/>
      <w:bookmarkEnd w:id="15"/>
    </w:p>
    <w:p>
      <w:pPr>
        <w:topLinePunct/>
        <w:spacing w:line="360" w:lineRule="auto"/>
        <w:ind w:firstLine="480" w:firstLineChars="200"/>
        <w:rPr>
          <w:rFonts w:ascii="Times New Roman" w:hAnsi="Times New Roman" w:eastAsia="宋体"/>
          <w:kern w:val="0"/>
          <w:szCs w:val="24"/>
        </w:rPr>
      </w:pPr>
      <w:r>
        <w:rPr>
          <w:rFonts w:hint="eastAsia" w:ascii="Times New Roman" w:hAnsi="Times New Roman" w:eastAsia="宋体"/>
          <w:kern w:val="0"/>
          <w:szCs w:val="24"/>
        </w:rPr>
        <w:t>本报告数据主要来源于学校2017届毕业生就业创业状况和用人单位需求调查，以及2017届毕业生的就业信息库。通过综合所有数据，报告全面描述了本校毕业生的就业创业状况，毕业生和用人单位对学校教育教学和就业创业服务工作的反馈意见。</w:t>
      </w:r>
    </w:p>
    <w:p>
      <w:pPr>
        <w:topLinePunct/>
        <w:spacing w:line="360" w:lineRule="auto"/>
        <w:ind w:firstLine="480" w:firstLineChars="200"/>
        <w:rPr>
          <w:rFonts w:ascii="Times New Roman" w:hAnsi="Times New Roman" w:eastAsia="宋体"/>
          <w:kern w:val="0"/>
          <w:szCs w:val="24"/>
        </w:rPr>
      </w:pPr>
      <w:r>
        <w:rPr>
          <w:rFonts w:hint="eastAsia" w:ascii="Times New Roman" w:hAnsi="Times New Roman" w:eastAsia="宋体"/>
          <w:kern w:val="0"/>
          <w:szCs w:val="24"/>
        </w:rPr>
        <w:t>报告主要内容为：</w:t>
      </w:r>
    </w:p>
    <w:p>
      <w:pPr>
        <w:topLinePunct/>
        <w:spacing w:line="360" w:lineRule="auto"/>
        <w:ind w:firstLine="480" w:firstLineChars="200"/>
        <w:rPr>
          <w:rFonts w:ascii="Times New Roman" w:hAnsi="Times New Roman" w:eastAsia="宋体"/>
          <w:kern w:val="0"/>
          <w:szCs w:val="24"/>
        </w:rPr>
      </w:pPr>
      <w:r>
        <w:rPr>
          <w:rFonts w:hint="eastAsia" w:ascii="Times New Roman" w:hAnsi="Times New Roman" w:eastAsia="宋体"/>
          <w:kern w:val="0"/>
          <w:szCs w:val="24"/>
        </w:rPr>
        <w:t>第一章，背景与概况；</w:t>
      </w:r>
    </w:p>
    <w:p>
      <w:pPr>
        <w:topLinePunct/>
        <w:spacing w:line="360" w:lineRule="auto"/>
        <w:ind w:firstLine="480" w:firstLineChars="200"/>
        <w:rPr>
          <w:rFonts w:ascii="Times New Roman" w:hAnsi="Times New Roman" w:eastAsia="宋体"/>
          <w:kern w:val="0"/>
          <w:szCs w:val="24"/>
        </w:rPr>
      </w:pPr>
      <w:r>
        <w:rPr>
          <w:rFonts w:hint="eastAsia" w:ascii="Times New Roman" w:hAnsi="Times New Roman" w:eastAsia="宋体"/>
          <w:kern w:val="0"/>
          <w:szCs w:val="24"/>
        </w:rPr>
        <w:t>第二章，毕业生基本情况与毕业去向；</w:t>
      </w:r>
    </w:p>
    <w:p>
      <w:pPr>
        <w:topLinePunct/>
        <w:spacing w:line="360" w:lineRule="auto"/>
        <w:ind w:firstLine="480" w:firstLineChars="200"/>
        <w:rPr>
          <w:rFonts w:ascii="Times New Roman" w:hAnsi="Times New Roman" w:eastAsia="宋体"/>
          <w:kern w:val="0"/>
          <w:szCs w:val="24"/>
        </w:rPr>
      </w:pPr>
      <w:r>
        <w:rPr>
          <w:rFonts w:hint="eastAsia" w:ascii="Times New Roman" w:hAnsi="Times New Roman" w:eastAsia="宋体"/>
          <w:kern w:val="0"/>
          <w:szCs w:val="24"/>
        </w:rPr>
        <w:t>（本章数据来源于本校2017届毕业生就业信息库，数据截至2017年10月31日。）</w:t>
      </w:r>
    </w:p>
    <w:p>
      <w:pPr>
        <w:topLinePunct/>
        <w:spacing w:line="360" w:lineRule="auto"/>
        <w:ind w:firstLine="480" w:firstLineChars="200"/>
        <w:rPr>
          <w:rFonts w:ascii="Times New Roman" w:hAnsi="Times New Roman" w:eastAsia="宋体"/>
          <w:kern w:val="0"/>
          <w:szCs w:val="24"/>
        </w:rPr>
      </w:pPr>
      <w:r>
        <w:rPr>
          <w:rFonts w:hint="eastAsia" w:ascii="Times New Roman" w:hAnsi="Times New Roman" w:eastAsia="宋体"/>
          <w:kern w:val="0"/>
          <w:szCs w:val="24"/>
        </w:rPr>
        <w:t>第三章，毕业生调查数据分析；</w:t>
      </w:r>
    </w:p>
    <w:p>
      <w:pPr>
        <w:topLinePunct/>
        <w:spacing w:line="360" w:lineRule="auto"/>
        <w:ind w:firstLine="480" w:firstLineChars="200"/>
        <w:rPr>
          <w:rFonts w:ascii="Times New Roman" w:hAnsi="Times New Roman" w:eastAsia="宋体"/>
          <w:kern w:val="0"/>
          <w:szCs w:val="24"/>
        </w:rPr>
      </w:pPr>
      <w:r>
        <w:rPr>
          <w:rFonts w:hint="eastAsia" w:ascii="Times New Roman" w:hAnsi="Times New Roman" w:eastAsia="宋体"/>
          <w:kern w:val="0"/>
          <w:szCs w:val="24"/>
        </w:rPr>
        <w:t>（本章数据来源于本校2017届毕业生就业创业状况调查，2017年4～6月进行。）</w:t>
      </w:r>
    </w:p>
    <w:p>
      <w:pPr>
        <w:topLinePunct/>
        <w:spacing w:line="360" w:lineRule="auto"/>
        <w:ind w:firstLine="480" w:firstLineChars="200"/>
        <w:rPr>
          <w:rFonts w:ascii="Times New Roman" w:hAnsi="Times New Roman" w:eastAsia="宋体"/>
          <w:kern w:val="0"/>
          <w:szCs w:val="24"/>
        </w:rPr>
      </w:pPr>
      <w:r>
        <w:rPr>
          <w:rFonts w:hint="eastAsia" w:ascii="Times New Roman" w:hAnsi="Times New Roman" w:eastAsia="宋体"/>
          <w:kern w:val="0"/>
          <w:szCs w:val="24"/>
        </w:rPr>
        <w:t>第四章，用人单位调查数据分析。</w:t>
      </w:r>
    </w:p>
    <w:p>
      <w:pPr>
        <w:topLinePunct/>
        <w:spacing w:line="360" w:lineRule="auto"/>
        <w:ind w:firstLine="480" w:firstLineChars="200"/>
        <w:rPr>
          <w:rFonts w:ascii="Times New Roman" w:hAnsi="Times New Roman" w:eastAsia="宋体"/>
          <w:kern w:val="0"/>
          <w:szCs w:val="24"/>
        </w:rPr>
      </w:pPr>
      <w:r>
        <w:rPr>
          <w:rFonts w:hint="eastAsia" w:ascii="Times New Roman" w:hAnsi="Times New Roman" w:eastAsia="宋体"/>
          <w:kern w:val="0"/>
          <w:szCs w:val="24"/>
        </w:rPr>
        <w:t>（本章数据来源于本校2017年用人单位需求调查，2017年4～10月进行。）</w:t>
      </w:r>
    </w:p>
    <w:p>
      <w:pPr>
        <w:topLinePunct/>
        <w:spacing w:line="360" w:lineRule="auto"/>
        <w:ind w:firstLine="480" w:firstLineChars="200"/>
        <w:rPr>
          <w:rFonts w:ascii="Times New Roman" w:hAnsi="Times New Roman" w:eastAsia="宋体"/>
          <w:kern w:val="0"/>
          <w:szCs w:val="24"/>
        </w:rPr>
      </w:pPr>
      <w:r>
        <w:rPr>
          <w:rFonts w:hint="eastAsia" w:ascii="Times New Roman" w:hAnsi="Times New Roman" w:eastAsia="宋体"/>
          <w:kern w:val="0"/>
          <w:szCs w:val="24"/>
        </w:rPr>
        <w:t>通过本报告，我们将全面掌握本校2017届毕业生毕业去向分布状况；了解2017届毕业生对学校就业服务与人才培养的评价意见；了解2017届毕业生的求职过程与求职结果；了解用人单位在2017年及未来几年对毕业生的数量需求情况；了解用人单位对毕业生的职业能力与职业素养评价；了解用人单位对学校的人才培养与就业服务工作的评价。</w:t>
      </w:r>
      <w:r>
        <w:rPr>
          <w:rFonts w:ascii="Times New Roman" w:hAnsi="Times New Roman" w:eastAsia="宋体"/>
          <w:kern w:val="0"/>
          <w:szCs w:val="24"/>
        </w:rPr>
        <w:t xml:space="preserve"> </w:t>
      </w:r>
    </w:p>
    <w:p>
      <w:pPr>
        <w:widowControl/>
        <w:jc w:val="left"/>
        <w:sectPr>
          <w:footerReference r:id="rId7" w:type="default"/>
          <w:footerReference r:id="rId8" w:type="even"/>
          <w:pgSz w:w="11906" w:h="16838"/>
          <w:pgMar w:top="1418" w:right="1134" w:bottom="1418" w:left="1134" w:header="851" w:footer="857" w:gutter="0"/>
          <w:cols w:space="425" w:num="1"/>
          <w:docGrid w:type="lines" w:linePitch="312" w:charSpace="0"/>
        </w:sectPr>
      </w:pPr>
    </w:p>
    <w:p>
      <w:pPr>
        <w:pStyle w:val="44"/>
        <w:spacing w:before="624" w:after="936"/>
      </w:pPr>
      <w:bookmarkStart w:id="16" w:name="_Toc486857462"/>
      <w:bookmarkStart w:id="17" w:name="_Toc483496457"/>
      <w:r>
        <mc:AlternateContent>
          <mc:Choice Requires="wps">
            <w:drawing>
              <wp:anchor distT="0" distB="0" distL="114300" distR="114300" simplePos="0" relativeHeight="251660288" behindDoc="0" locked="0" layoutInCell="1" allowOverlap="1">
                <wp:simplePos x="0" y="0"/>
                <wp:positionH relativeFrom="column">
                  <wp:posOffset>-906145</wp:posOffset>
                </wp:positionH>
                <wp:positionV relativeFrom="paragraph">
                  <wp:posOffset>915670</wp:posOffset>
                </wp:positionV>
                <wp:extent cx="7777480" cy="57150"/>
                <wp:effectExtent l="0" t="0" r="13970" b="0"/>
                <wp:wrapNone/>
                <wp:docPr id="488" name="矩形 488"/>
                <wp:cNvGraphicFramePr/>
                <a:graphic xmlns:a="http://schemas.openxmlformats.org/drawingml/2006/main">
                  <a:graphicData uri="http://schemas.microsoft.com/office/word/2010/wordprocessingShape">
                    <wps:wsp>
                      <wps:cNvSpPr>
                        <a:spLocks noChangeArrowheads="1"/>
                      </wps:cNvSpPr>
                      <wps:spPr bwMode="auto">
                        <a:xfrm>
                          <a:off x="0" y="0"/>
                          <a:ext cx="7677150" cy="57150"/>
                        </a:xfrm>
                        <a:prstGeom prst="rect">
                          <a:avLst/>
                        </a:prstGeom>
                        <a:gradFill rotWithShape="1">
                          <a:gsLst>
                            <a:gs pos="0">
                              <a:srgbClr val="4BACC6">
                                <a:lumMod val="20000"/>
                                <a:lumOff val="80000"/>
                              </a:srgbClr>
                            </a:gs>
                            <a:gs pos="100000">
                              <a:srgbClr val="4BACC6">
                                <a:lumMod val="75000"/>
                              </a:srgbClr>
                            </a:gs>
                          </a:gsLst>
                          <a:lin ang="0" scaled="1"/>
                        </a:gradFill>
                        <a:ln>
                          <a:noFill/>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1.35pt;margin-top:72.1pt;height:4.5pt;width:612.4pt;z-index:251660288;mso-width-relative:page;mso-height-relative:page;" fillcolor="#DBEEF4" filled="t" stroked="f" coordsize="21600,21600" o:gfxdata="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tc&#10;3DzdAAAADQEAAA8AAAAAAAAAAQAgAAAAIgAAAGRycy9kb3ducmV2LnhtbFBLAQIUABQAAAAIAIdO&#10;4kCCJv/nVwIAAMkEAAAOAAAAAAAAAAEAIAAAACwBAABkcnMvZTJvRG9jLnhtbFBLBQYAAAAABgAG&#10;AFkBAAD1BQAAAAA=&#10;">
                <v:fill type="gradient" on="t" color2="#31859C" angle="90" focus="100%" focussize="0,0" rotate="t"/>
                <v:stroke on="f"/>
                <v:imagedata o:title=""/>
                <o:lock v:ext="edit" aspectratio="f"/>
              </v:rect>
            </w:pict>
          </mc:Fallback>
        </mc:AlternateContent>
      </w:r>
      <w:r>
        <w:rPr>
          <w:rFonts w:hint="eastAsia"/>
        </w:rPr>
        <w:t>第二章　毕业生基本情况与毕业去向</w:t>
      </w:r>
      <w:bookmarkEnd w:id="8"/>
      <w:bookmarkEnd w:id="16"/>
      <w:bookmarkEnd w:id="17"/>
    </w:p>
    <w:p>
      <w:pPr>
        <w:topLinePunct/>
        <w:spacing w:line="360" w:lineRule="auto"/>
        <w:ind w:firstLine="480" w:firstLineChars="200"/>
        <w:rPr>
          <w:rFonts w:ascii="Times New Roman" w:hAnsi="Times New Roman" w:eastAsia="宋体"/>
          <w:kern w:val="0"/>
          <w:szCs w:val="24"/>
        </w:rPr>
      </w:pPr>
      <w:bookmarkStart w:id="18" w:name="_Toc486857477"/>
      <w:r>
        <w:rPr>
          <w:rFonts w:hint="eastAsia" w:ascii="Times New Roman" w:hAnsi="Times New Roman" w:eastAsia="宋体"/>
          <w:szCs w:val="24"/>
        </w:rPr>
        <w:t>为全面、客观、真实反映本校201</w:t>
      </w:r>
      <w:r>
        <w:rPr>
          <w:rFonts w:ascii="Times New Roman" w:hAnsi="Times New Roman" w:eastAsia="宋体"/>
          <w:szCs w:val="24"/>
        </w:rPr>
        <w:t>7</w:t>
      </w:r>
      <w:r>
        <w:rPr>
          <w:rFonts w:hint="eastAsia" w:ascii="Times New Roman" w:hAnsi="Times New Roman" w:eastAsia="宋体"/>
          <w:szCs w:val="24"/>
        </w:rPr>
        <w:t>届毕业生的基本情况与毕业去向，本章所有数据来源于本校201</w:t>
      </w:r>
      <w:r>
        <w:rPr>
          <w:rFonts w:ascii="Times New Roman" w:hAnsi="Times New Roman" w:eastAsia="宋体"/>
          <w:szCs w:val="24"/>
        </w:rPr>
        <w:t>7</w:t>
      </w:r>
      <w:r>
        <w:rPr>
          <w:rFonts w:hint="eastAsia" w:ascii="Times New Roman" w:hAnsi="Times New Roman" w:eastAsia="宋体"/>
          <w:szCs w:val="24"/>
        </w:rPr>
        <w:t>届毕业生就业信息库（数据截至201</w:t>
      </w:r>
      <w:r>
        <w:rPr>
          <w:rFonts w:ascii="Times New Roman" w:hAnsi="Times New Roman" w:eastAsia="宋体"/>
          <w:szCs w:val="24"/>
        </w:rPr>
        <w:t>7</w:t>
      </w:r>
      <w:r>
        <w:rPr>
          <w:rFonts w:hint="eastAsia" w:ascii="Times New Roman" w:hAnsi="Times New Roman" w:eastAsia="宋体"/>
          <w:szCs w:val="24"/>
        </w:rPr>
        <w:t>年10月31日）。</w:t>
      </w:r>
    </w:p>
    <w:p>
      <w:pPr>
        <w:pStyle w:val="47"/>
        <w:spacing w:before="312" w:after="156"/>
      </w:pPr>
      <w:bookmarkStart w:id="19" w:name="_Toc406677038"/>
      <w:bookmarkStart w:id="20" w:name="_Toc485713518"/>
      <w:r>
        <w:rPr>
          <w:rFonts w:hint="eastAsia"/>
        </w:rPr>
        <w:t>一、毕业生规模与结构</w:t>
      </w:r>
      <w:bookmarkEnd w:id="19"/>
      <w:bookmarkEnd w:id="20"/>
      <w:bookmarkStart w:id="21" w:name="_Toc406677039"/>
    </w:p>
    <w:p>
      <w:pPr>
        <w:pStyle w:val="123"/>
        <w:ind w:firstLine="480"/>
      </w:pPr>
      <w:r>
        <w:rPr>
          <w:rFonts w:hint="eastAsia"/>
        </w:rPr>
        <w:t>本校201</w:t>
      </w:r>
      <w:r>
        <w:t>7</w:t>
      </w:r>
      <w:r>
        <w:rPr>
          <w:rFonts w:hint="eastAsia"/>
        </w:rPr>
        <w:t>届毕业生总数为</w:t>
      </w:r>
      <w:r>
        <w:t>433</w:t>
      </w:r>
      <w:r>
        <w:rPr>
          <w:rFonts w:hint="eastAsia"/>
        </w:rPr>
        <w:t>人，</w:t>
      </w:r>
      <w:r>
        <w:t>其中</w:t>
      </w:r>
      <w:bookmarkStart w:id="22" w:name="PO_21A"/>
      <w:bookmarkEnd w:id="22"/>
      <w:r>
        <w:rPr>
          <w:rFonts w:hint="eastAsia"/>
        </w:rPr>
        <w:t>本科毕业生323人，硕士毕业生89人，博士毕业生21人</w:t>
      </w:r>
      <w:r>
        <w:t>。</w:t>
      </w:r>
      <w:r>
        <w:rPr>
          <w:rFonts w:hint="eastAsia"/>
        </w:rPr>
        <w:t>在性别、生源地区方面的分布如下表所示。</w:t>
      </w:r>
    </w:p>
    <w:p>
      <w:pPr>
        <w:pStyle w:val="55"/>
        <w:adjustRightInd/>
        <w:snapToGrid/>
        <w:spacing w:before="312" w:after="156"/>
        <w:ind w:left="420" w:hanging="420"/>
      </w:pPr>
      <w:bookmarkStart w:id="23" w:name="PO_21D"/>
      <w:bookmarkEnd w:id="23"/>
      <w:r>
        <w:rPr>
          <w:rFonts w:hint="eastAsia"/>
        </w:rPr>
        <w:t>毕业生性别、生源地区与学历层次分布</w:t>
      </w:r>
    </w:p>
    <w:tbl>
      <w:tblPr>
        <w:tblStyle w:val="125"/>
        <w:tblW w:w="7517" w:type="dxa"/>
        <w:jc w:val="center"/>
        <w:tblInd w:w="0"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1235"/>
        <w:gridCol w:w="1180"/>
        <w:gridCol w:w="849"/>
        <w:gridCol w:w="851"/>
        <w:gridCol w:w="850"/>
        <w:gridCol w:w="851"/>
        <w:gridCol w:w="850"/>
        <w:gridCol w:w="851"/>
      </w:tblGrid>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21" w:hRule="atLeast"/>
          <w:jc w:val="center"/>
        </w:trPr>
        <w:tc>
          <w:tcPr>
            <w:tcW w:w="1235" w:type="dxa"/>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4BACC6" w:themeFill="accent5"/>
          </w:tcPr>
          <w:p>
            <w:pPr>
              <w:ind w:firstLine="480"/>
              <w:jc w:val="center"/>
              <w:rPr>
                <w:rFonts w:ascii="Times New Roman" w:hAnsi="Times New Roman" w:eastAsia="宋体"/>
                <w:b/>
                <w:bCs/>
                <w:color w:val="FFFFFF" w:themeColor="background1"/>
                <w:kern w:val="0"/>
              </w:rPr>
            </w:pPr>
          </w:p>
        </w:tc>
        <w:tc>
          <w:tcPr>
            <w:tcW w:w="1180" w:type="dxa"/>
            <w:tcBorders>
              <w:top w:val="single" w:color="4BACC6" w:themeColor="accent5" w:sz="4" w:space="0"/>
              <w:bottom w:val="single" w:color="4BACC6" w:themeColor="accent5" w:sz="4" w:space="0"/>
              <w:right w:val="nil"/>
              <w:insideH w:val="single" w:sz="4" w:space="0"/>
              <w:insideV w:val="nil"/>
            </w:tcBorders>
            <w:shd w:val="clear" w:color="auto" w:fill="4BACC6" w:themeFill="accent5"/>
          </w:tcPr>
          <w:p>
            <w:pPr>
              <w:jc w:val="center"/>
              <w:rPr>
                <w:rFonts w:ascii="Times New Roman" w:hAnsi="Times New Roman" w:eastAsia="宋体"/>
                <w:b/>
                <w:bCs/>
                <w:color w:val="FFFFFF" w:themeColor="background1"/>
                <w:kern w:val="0"/>
              </w:rPr>
            </w:pPr>
          </w:p>
        </w:tc>
        <w:tc>
          <w:tcPr>
            <w:tcW w:w="1700" w:type="dxa"/>
            <w:gridSpan w:val="2"/>
            <w:tcBorders>
              <w:top w:val="single" w:color="4BACC6" w:themeColor="accent5" w:sz="4" w:space="0"/>
              <w:bottom w:val="single" w:color="4BACC6" w:themeColor="accent5" w:sz="4" w:space="0"/>
              <w:right w:val="nil"/>
              <w:insideH w:val="single" w:sz="4" w:space="0"/>
              <w:insideV w:val="nil"/>
            </w:tcBorders>
            <w:shd w:val="clear" w:color="auto" w:fill="4BACC6" w:themeFill="accent5"/>
          </w:tcPr>
          <w:p>
            <w:pPr>
              <w:jc w:val="center"/>
              <w:rPr>
                <w:rFonts w:ascii="Times New Roman" w:hAnsi="Times New Roman" w:eastAsia="宋体"/>
                <w:b/>
                <w:bCs/>
                <w:color w:val="FFFFFF" w:themeColor="background1"/>
                <w:kern w:val="0"/>
              </w:rPr>
            </w:pPr>
            <w:r>
              <w:rPr>
                <w:rFonts w:hint="eastAsia" w:ascii="Times New Roman" w:hAnsi="Times New Roman" w:eastAsia="宋体"/>
                <w:b/>
                <w:bCs/>
                <w:color w:val="FFFFFF" w:themeColor="background1"/>
                <w:kern w:val="0"/>
              </w:rPr>
              <w:t>本科</w:t>
            </w:r>
          </w:p>
        </w:tc>
        <w:tc>
          <w:tcPr>
            <w:tcW w:w="1701" w:type="dxa"/>
            <w:gridSpan w:val="2"/>
            <w:tcBorders>
              <w:top w:val="single" w:color="4BACC6" w:themeColor="accent5" w:sz="4" w:space="0"/>
              <w:bottom w:val="single" w:color="4BACC6" w:themeColor="accent5" w:sz="4" w:space="0"/>
              <w:right w:val="nil"/>
              <w:insideH w:val="single" w:sz="4" w:space="0"/>
              <w:insideV w:val="nil"/>
            </w:tcBorders>
            <w:shd w:val="clear" w:color="auto" w:fill="4BACC6" w:themeFill="accent5"/>
          </w:tcPr>
          <w:p>
            <w:pPr>
              <w:jc w:val="center"/>
              <w:rPr>
                <w:rFonts w:ascii="Times New Roman" w:hAnsi="Times New Roman" w:eastAsia="宋体"/>
                <w:b/>
                <w:bCs/>
                <w:color w:val="FFFFFF" w:themeColor="background1"/>
                <w:kern w:val="0"/>
              </w:rPr>
            </w:pPr>
            <w:r>
              <w:rPr>
                <w:rFonts w:hint="eastAsia" w:ascii="Times New Roman" w:hAnsi="Times New Roman" w:eastAsia="宋体"/>
                <w:b/>
                <w:bCs/>
                <w:color w:val="FFFFFF" w:themeColor="background1"/>
                <w:kern w:val="0"/>
              </w:rPr>
              <w:t>硕士</w:t>
            </w:r>
          </w:p>
        </w:tc>
        <w:tc>
          <w:tcPr>
            <w:tcW w:w="1701" w:type="dxa"/>
            <w:gridSpan w:val="2"/>
            <w:tcBorders>
              <w:top w:val="single" w:color="4BACC6" w:themeColor="accent5" w:sz="4" w:space="0"/>
              <w:bottom w:val="single" w:color="4BACC6" w:themeColor="accent5" w:sz="4" w:space="0"/>
              <w:right w:val="single" w:color="4BACC6" w:themeColor="accent5" w:sz="4" w:space="0"/>
              <w:insideH w:val="single" w:sz="4" w:space="0"/>
              <w:insideV w:val="nil"/>
            </w:tcBorders>
            <w:shd w:val="clear" w:color="auto" w:fill="4BACC6" w:themeFill="accent5"/>
          </w:tcPr>
          <w:p>
            <w:pPr>
              <w:jc w:val="center"/>
              <w:rPr>
                <w:rFonts w:ascii="Times New Roman" w:hAnsi="Times New Roman" w:eastAsia="宋体"/>
                <w:b/>
                <w:bCs/>
                <w:color w:val="FFFFFF" w:themeColor="background1"/>
                <w:kern w:val="0"/>
              </w:rPr>
            </w:pPr>
            <w:r>
              <w:rPr>
                <w:rFonts w:hint="eastAsia" w:ascii="Times New Roman" w:hAnsi="Times New Roman" w:eastAsia="宋体"/>
                <w:b/>
                <w:bCs/>
                <w:color w:val="FFFFFF" w:themeColor="background1"/>
                <w:kern w:val="0"/>
              </w:rPr>
              <w:t>博士</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21" w:hRule="atLeast"/>
          <w:jc w:val="center"/>
        </w:trPr>
        <w:tc>
          <w:tcPr>
            <w:tcW w:w="1235" w:type="dxa"/>
            <w:shd w:val="clear" w:color="auto" w:fill="4BACC6" w:themeFill="accent5"/>
          </w:tcPr>
          <w:p>
            <w:pPr>
              <w:ind w:firstLine="480"/>
              <w:jc w:val="center"/>
              <w:rPr>
                <w:rFonts w:ascii="Times New Roman" w:hAnsi="Times New Roman" w:eastAsia="宋体"/>
                <w:b/>
                <w:bCs/>
                <w:color w:val="FFFFFF" w:themeColor="background1"/>
                <w:kern w:val="0"/>
              </w:rPr>
            </w:pPr>
          </w:p>
        </w:tc>
        <w:tc>
          <w:tcPr>
            <w:tcW w:w="1180" w:type="dxa"/>
            <w:shd w:val="clear" w:color="auto" w:fill="4BACC6" w:themeFill="accent5"/>
          </w:tcPr>
          <w:p>
            <w:pPr>
              <w:jc w:val="center"/>
              <w:rPr>
                <w:rFonts w:ascii="Times New Roman" w:hAnsi="Times New Roman" w:eastAsia="宋体"/>
                <w:color w:val="FFFFFF" w:themeColor="background1"/>
                <w:kern w:val="0"/>
              </w:rPr>
            </w:pPr>
          </w:p>
        </w:tc>
        <w:tc>
          <w:tcPr>
            <w:tcW w:w="849" w:type="dxa"/>
            <w:shd w:val="clear" w:color="auto" w:fill="4BACC6" w:themeFill="accent5"/>
          </w:tcPr>
          <w:p>
            <w:pPr>
              <w:jc w:val="center"/>
              <w:rPr>
                <w:rFonts w:ascii="Times New Roman" w:hAnsi="Times New Roman" w:eastAsia="宋体"/>
                <w:color w:val="FFFFFF" w:themeColor="background1"/>
                <w:kern w:val="0"/>
              </w:rPr>
            </w:pPr>
            <w:r>
              <w:rPr>
                <w:rFonts w:hint="eastAsia" w:ascii="Times New Roman" w:hAnsi="Times New Roman" w:eastAsia="宋体"/>
                <w:color w:val="FFFFFF" w:themeColor="background1"/>
                <w:kern w:val="0"/>
              </w:rPr>
              <w:t>人数</w:t>
            </w:r>
          </w:p>
        </w:tc>
        <w:tc>
          <w:tcPr>
            <w:tcW w:w="851" w:type="dxa"/>
            <w:shd w:val="clear" w:color="auto" w:fill="4BACC6" w:themeFill="accent5"/>
          </w:tcPr>
          <w:p>
            <w:pPr>
              <w:jc w:val="center"/>
              <w:rPr>
                <w:rFonts w:ascii="Times New Roman" w:hAnsi="Times New Roman" w:eastAsia="宋体"/>
                <w:color w:val="FFFFFF" w:themeColor="background1"/>
                <w:kern w:val="0"/>
              </w:rPr>
            </w:pPr>
            <w:r>
              <w:rPr>
                <w:rFonts w:ascii="Times New Roman" w:hAnsi="Times New Roman" w:eastAsia="宋体"/>
                <w:color w:val="FFFFFF" w:themeColor="background1"/>
                <w:kern w:val="0"/>
              </w:rPr>
              <w:t>%</w:t>
            </w:r>
          </w:p>
        </w:tc>
        <w:tc>
          <w:tcPr>
            <w:tcW w:w="850" w:type="dxa"/>
            <w:shd w:val="clear" w:color="auto" w:fill="4BACC6" w:themeFill="accent5"/>
          </w:tcPr>
          <w:p>
            <w:pPr>
              <w:jc w:val="center"/>
              <w:rPr>
                <w:rFonts w:ascii="Times New Roman" w:hAnsi="Times New Roman" w:eastAsia="宋体"/>
                <w:color w:val="FFFFFF" w:themeColor="background1"/>
                <w:kern w:val="0"/>
              </w:rPr>
            </w:pPr>
            <w:r>
              <w:rPr>
                <w:rFonts w:hint="eastAsia" w:ascii="Times New Roman" w:hAnsi="Times New Roman" w:eastAsia="宋体"/>
                <w:color w:val="FFFFFF" w:themeColor="background1"/>
                <w:kern w:val="0"/>
              </w:rPr>
              <w:t>人数</w:t>
            </w:r>
          </w:p>
        </w:tc>
        <w:tc>
          <w:tcPr>
            <w:tcW w:w="851" w:type="dxa"/>
            <w:shd w:val="clear" w:color="auto" w:fill="4BACC6" w:themeFill="accent5"/>
          </w:tcPr>
          <w:p>
            <w:pPr>
              <w:jc w:val="center"/>
              <w:rPr>
                <w:rFonts w:ascii="Times New Roman" w:hAnsi="Times New Roman" w:eastAsia="宋体"/>
                <w:color w:val="FFFFFF" w:themeColor="background1"/>
                <w:kern w:val="0"/>
              </w:rPr>
            </w:pPr>
            <w:r>
              <w:rPr>
                <w:rFonts w:ascii="Times New Roman" w:hAnsi="Times New Roman" w:eastAsia="宋体"/>
                <w:color w:val="FFFFFF" w:themeColor="background1"/>
                <w:kern w:val="0"/>
              </w:rPr>
              <w:t>%</w:t>
            </w:r>
          </w:p>
        </w:tc>
        <w:tc>
          <w:tcPr>
            <w:tcW w:w="850" w:type="dxa"/>
            <w:shd w:val="clear" w:color="auto" w:fill="4BACC6" w:themeFill="accent5"/>
          </w:tcPr>
          <w:p>
            <w:pPr>
              <w:jc w:val="center"/>
              <w:rPr>
                <w:rFonts w:ascii="Times New Roman" w:hAnsi="Times New Roman" w:eastAsia="宋体"/>
                <w:color w:val="FFFFFF" w:themeColor="background1"/>
                <w:kern w:val="0"/>
              </w:rPr>
            </w:pPr>
            <w:r>
              <w:rPr>
                <w:rFonts w:hint="eastAsia" w:ascii="Times New Roman" w:hAnsi="Times New Roman" w:eastAsia="宋体"/>
                <w:color w:val="FFFFFF" w:themeColor="background1"/>
                <w:kern w:val="0"/>
              </w:rPr>
              <w:t>人数</w:t>
            </w:r>
          </w:p>
        </w:tc>
        <w:tc>
          <w:tcPr>
            <w:tcW w:w="851" w:type="dxa"/>
            <w:shd w:val="clear" w:color="auto" w:fill="4BACC6" w:themeFill="accent5"/>
          </w:tcPr>
          <w:p>
            <w:pPr>
              <w:jc w:val="center"/>
              <w:rPr>
                <w:rFonts w:ascii="Times New Roman" w:hAnsi="Times New Roman" w:eastAsia="宋体"/>
                <w:color w:val="FFFFFF" w:themeColor="background1"/>
                <w:kern w:val="0"/>
              </w:rPr>
            </w:pPr>
            <w:r>
              <w:rPr>
                <w:rFonts w:ascii="Times New Roman" w:hAnsi="Times New Roman" w:eastAsia="宋体"/>
                <w:color w:val="FFFFFF" w:themeColor="background1"/>
                <w:kern w:val="0"/>
              </w:rPr>
              <w:t>%</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09" w:hRule="atLeast"/>
          <w:jc w:val="center"/>
        </w:trPr>
        <w:tc>
          <w:tcPr>
            <w:tcW w:w="1235" w:type="dxa"/>
            <w:vMerge w:val="restart"/>
            <w:vAlign w:val="center"/>
          </w:tcPr>
          <w:p>
            <w:pPr>
              <w:jc w:val="center"/>
              <w:rPr>
                <w:rFonts w:ascii="Times New Roman" w:hAnsi="Times New Roman" w:eastAsia="宋体"/>
                <w:b/>
                <w:bCs/>
                <w:kern w:val="0"/>
              </w:rPr>
            </w:pPr>
            <w:r>
              <w:rPr>
                <w:rFonts w:hint="eastAsia" w:ascii="Times New Roman" w:hAnsi="Times New Roman" w:eastAsia="宋体"/>
                <w:b/>
                <w:bCs/>
                <w:kern w:val="0"/>
              </w:rPr>
              <w:t>性别</w:t>
            </w:r>
          </w:p>
        </w:tc>
        <w:tc>
          <w:tcPr>
            <w:tcW w:w="1180" w:type="dxa"/>
            <w:vAlign w:val="center"/>
          </w:tcPr>
          <w:p>
            <w:pPr>
              <w:rPr>
                <w:rFonts w:ascii="Times New Roman" w:hAnsi="Times New Roman" w:eastAsia="宋体"/>
                <w:kern w:val="0"/>
              </w:rPr>
            </w:pPr>
            <w:r>
              <w:rPr>
                <w:rFonts w:hint="eastAsia" w:ascii="Times New Roman" w:hAnsi="Times New Roman" w:eastAsia="宋体"/>
                <w:kern w:val="0"/>
              </w:rPr>
              <w:t>男生</w:t>
            </w:r>
          </w:p>
        </w:tc>
        <w:tc>
          <w:tcPr>
            <w:tcW w:w="849" w:type="dxa"/>
            <w:vAlign w:val="center"/>
          </w:tcPr>
          <w:p>
            <w:pPr>
              <w:jc w:val="center"/>
              <w:rPr>
                <w:rFonts w:ascii="Times New Roman" w:hAnsi="Times New Roman" w:eastAsia="宋体"/>
                <w:kern w:val="0"/>
              </w:rPr>
            </w:pPr>
            <w:r>
              <w:rPr>
                <w:rFonts w:ascii="Times New Roman" w:hAnsi="Times New Roman" w:eastAsia="宋体"/>
                <w:kern w:val="0"/>
              </w:rPr>
              <w:t>138</w:t>
            </w:r>
          </w:p>
        </w:tc>
        <w:tc>
          <w:tcPr>
            <w:tcW w:w="851" w:type="dxa"/>
            <w:vAlign w:val="center"/>
          </w:tcPr>
          <w:p>
            <w:pPr>
              <w:jc w:val="center"/>
              <w:rPr>
                <w:rFonts w:ascii="Times New Roman" w:hAnsi="Times New Roman" w:eastAsia="宋体"/>
                <w:kern w:val="0"/>
              </w:rPr>
            </w:pPr>
            <w:r>
              <w:rPr>
                <w:rFonts w:ascii="Times New Roman" w:hAnsi="Times New Roman" w:eastAsia="宋体"/>
                <w:kern w:val="0"/>
              </w:rPr>
              <w:t>78.86</w:t>
            </w:r>
          </w:p>
        </w:tc>
        <w:tc>
          <w:tcPr>
            <w:tcW w:w="850" w:type="dxa"/>
            <w:vAlign w:val="center"/>
          </w:tcPr>
          <w:p>
            <w:pPr>
              <w:jc w:val="center"/>
              <w:rPr>
                <w:rFonts w:ascii="Times New Roman" w:hAnsi="Times New Roman" w:eastAsia="宋体"/>
                <w:kern w:val="0"/>
              </w:rPr>
            </w:pPr>
            <w:r>
              <w:rPr>
                <w:rFonts w:ascii="Times New Roman" w:hAnsi="Times New Roman" w:eastAsia="宋体"/>
                <w:kern w:val="0"/>
              </w:rPr>
              <w:t>29</w:t>
            </w:r>
          </w:p>
        </w:tc>
        <w:tc>
          <w:tcPr>
            <w:tcW w:w="851" w:type="dxa"/>
            <w:vAlign w:val="center"/>
          </w:tcPr>
          <w:p>
            <w:pPr>
              <w:jc w:val="center"/>
              <w:rPr>
                <w:rFonts w:ascii="Times New Roman" w:hAnsi="Times New Roman" w:eastAsia="宋体"/>
                <w:kern w:val="0"/>
              </w:rPr>
            </w:pPr>
            <w:r>
              <w:rPr>
                <w:rFonts w:ascii="Times New Roman" w:hAnsi="Times New Roman" w:eastAsia="宋体"/>
                <w:kern w:val="0"/>
              </w:rPr>
              <w:t>16.57</w:t>
            </w:r>
          </w:p>
        </w:tc>
        <w:tc>
          <w:tcPr>
            <w:tcW w:w="850" w:type="dxa"/>
            <w:vAlign w:val="center"/>
          </w:tcPr>
          <w:p>
            <w:pPr>
              <w:jc w:val="center"/>
              <w:rPr>
                <w:rFonts w:ascii="Times New Roman" w:hAnsi="Times New Roman" w:eastAsia="宋体"/>
                <w:kern w:val="0"/>
              </w:rPr>
            </w:pPr>
            <w:r>
              <w:rPr>
                <w:rFonts w:ascii="Times New Roman" w:hAnsi="Times New Roman" w:eastAsia="宋体"/>
                <w:kern w:val="0"/>
              </w:rPr>
              <w:t>8</w:t>
            </w:r>
          </w:p>
        </w:tc>
        <w:tc>
          <w:tcPr>
            <w:tcW w:w="851" w:type="dxa"/>
            <w:vAlign w:val="center"/>
          </w:tcPr>
          <w:p>
            <w:pPr>
              <w:jc w:val="center"/>
              <w:rPr>
                <w:rFonts w:ascii="Times New Roman" w:hAnsi="Times New Roman" w:eastAsia="宋体"/>
                <w:kern w:val="0"/>
              </w:rPr>
            </w:pPr>
            <w:r>
              <w:rPr>
                <w:rFonts w:ascii="Times New Roman" w:hAnsi="Times New Roman" w:eastAsia="宋体"/>
                <w:kern w:val="0"/>
              </w:rPr>
              <w:t>4.57</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09" w:hRule="atLeast"/>
          <w:jc w:val="center"/>
        </w:trPr>
        <w:tc>
          <w:tcPr>
            <w:tcW w:w="1235" w:type="dxa"/>
            <w:vMerge w:val="continue"/>
            <w:shd w:val="clear" w:color="auto" w:fill="DAEEF3" w:themeFill="accent5" w:themeFillTint="33"/>
            <w:vAlign w:val="center"/>
          </w:tcPr>
          <w:p>
            <w:pPr>
              <w:jc w:val="center"/>
              <w:rPr>
                <w:rFonts w:ascii="Times New Roman" w:hAnsi="Times New Roman" w:eastAsia="宋体"/>
                <w:b/>
                <w:bCs/>
                <w:kern w:val="0"/>
              </w:rPr>
            </w:pPr>
          </w:p>
        </w:tc>
        <w:tc>
          <w:tcPr>
            <w:tcW w:w="1180" w:type="dxa"/>
            <w:shd w:val="clear" w:color="auto" w:fill="DAEEF3" w:themeFill="accent5" w:themeFillTint="33"/>
            <w:vAlign w:val="center"/>
          </w:tcPr>
          <w:p>
            <w:pPr>
              <w:rPr>
                <w:rFonts w:ascii="Times New Roman" w:hAnsi="Times New Roman" w:eastAsia="宋体"/>
                <w:kern w:val="0"/>
              </w:rPr>
            </w:pPr>
            <w:r>
              <w:rPr>
                <w:rFonts w:hint="eastAsia" w:ascii="Times New Roman" w:hAnsi="Times New Roman" w:eastAsia="宋体"/>
                <w:kern w:val="0"/>
              </w:rPr>
              <w:t>女生</w:t>
            </w:r>
          </w:p>
        </w:tc>
        <w:tc>
          <w:tcPr>
            <w:tcW w:w="849" w:type="dxa"/>
            <w:shd w:val="clear" w:color="auto" w:fill="DAEEF3" w:themeFill="accent5" w:themeFillTint="33"/>
            <w:vAlign w:val="center"/>
          </w:tcPr>
          <w:p>
            <w:pPr>
              <w:jc w:val="center"/>
              <w:rPr>
                <w:rFonts w:ascii="Times New Roman" w:hAnsi="Times New Roman" w:eastAsia="宋体"/>
                <w:kern w:val="0"/>
              </w:rPr>
            </w:pPr>
            <w:r>
              <w:rPr>
                <w:rFonts w:ascii="Times New Roman" w:hAnsi="Times New Roman" w:eastAsia="宋体"/>
                <w:kern w:val="0"/>
              </w:rPr>
              <w:t>185</w:t>
            </w:r>
          </w:p>
        </w:tc>
        <w:tc>
          <w:tcPr>
            <w:tcW w:w="851" w:type="dxa"/>
            <w:shd w:val="clear" w:color="auto" w:fill="DAEEF3" w:themeFill="accent5" w:themeFillTint="33"/>
            <w:vAlign w:val="center"/>
          </w:tcPr>
          <w:p>
            <w:pPr>
              <w:jc w:val="center"/>
              <w:rPr>
                <w:rFonts w:ascii="Times New Roman" w:hAnsi="Times New Roman" w:eastAsia="宋体"/>
                <w:kern w:val="0"/>
              </w:rPr>
            </w:pPr>
            <w:r>
              <w:rPr>
                <w:rFonts w:ascii="Times New Roman" w:hAnsi="Times New Roman" w:eastAsia="宋体"/>
                <w:kern w:val="0"/>
              </w:rPr>
              <w:t>71.71</w:t>
            </w:r>
          </w:p>
        </w:tc>
        <w:tc>
          <w:tcPr>
            <w:tcW w:w="850" w:type="dxa"/>
            <w:shd w:val="clear" w:color="auto" w:fill="DAEEF3" w:themeFill="accent5" w:themeFillTint="33"/>
            <w:vAlign w:val="center"/>
          </w:tcPr>
          <w:p>
            <w:pPr>
              <w:jc w:val="center"/>
              <w:rPr>
                <w:rFonts w:ascii="Times New Roman" w:hAnsi="Times New Roman" w:eastAsia="宋体"/>
                <w:kern w:val="0"/>
              </w:rPr>
            </w:pPr>
            <w:r>
              <w:rPr>
                <w:rFonts w:ascii="Times New Roman" w:hAnsi="Times New Roman" w:eastAsia="宋体"/>
                <w:kern w:val="0"/>
              </w:rPr>
              <w:t>60</w:t>
            </w:r>
          </w:p>
        </w:tc>
        <w:tc>
          <w:tcPr>
            <w:tcW w:w="851" w:type="dxa"/>
            <w:shd w:val="clear" w:color="auto" w:fill="DAEEF3" w:themeFill="accent5" w:themeFillTint="33"/>
            <w:vAlign w:val="center"/>
          </w:tcPr>
          <w:p>
            <w:pPr>
              <w:jc w:val="center"/>
              <w:rPr>
                <w:rFonts w:ascii="Times New Roman" w:hAnsi="Times New Roman" w:eastAsia="宋体"/>
                <w:kern w:val="0"/>
              </w:rPr>
            </w:pPr>
            <w:r>
              <w:rPr>
                <w:rFonts w:ascii="Times New Roman" w:hAnsi="Times New Roman" w:eastAsia="宋体"/>
                <w:kern w:val="0"/>
              </w:rPr>
              <w:t>23.26</w:t>
            </w:r>
          </w:p>
        </w:tc>
        <w:tc>
          <w:tcPr>
            <w:tcW w:w="850" w:type="dxa"/>
            <w:shd w:val="clear" w:color="auto" w:fill="DAEEF3" w:themeFill="accent5" w:themeFillTint="33"/>
            <w:vAlign w:val="center"/>
          </w:tcPr>
          <w:p>
            <w:pPr>
              <w:jc w:val="center"/>
              <w:rPr>
                <w:rFonts w:ascii="Times New Roman" w:hAnsi="Times New Roman" w:eastAsia="宋体"/>
                <w:kern w:val="0"/>
              </w:rPr>
            </w:pPr>
            <w:r>
              <w:rPr>
                <w:rFonts w:ascii="Times New Roman" w:hAnsi="Times New Roman" w:eastAsia="宋体"/>
                <w:kern w:val="0"/>
              </w:rPr>
              <w:t>13</w:t>
            </w:r>
          </w:p>
        </w:tc>
        <w:tc>
          <w:tcPr>
            <w:tcW w:w="851" w:type="dxa"/>
            <w:shd w:val="clear" w:color="auto" w:fill="DAEEF3" w:themeFill="accent5" w:themeFillTint="33"/>
            <w:vAlign w:val="center"/>
          </w:tcPr>
          <w:p>
            <w:pPr>
              <w:jc w:val="center"/>
              <w:rPr>
                <w:rFonts w:ascii="Times New Roman" w:hAnsi="Times New Roman" w:eastAsia="宋体"/>
                <w:kern w:val="0"/>
              </w:rPr>
            </w:pPr>
            <w:r>
              <w:rPr>
                <w:rFonts w:ascii="Times New Roman" w:hAnsi="Times New Roman" w:eastAsia="宋体"/>
                <w:kern w:val="0"/>
              </w:rPr>
              <w:t>5.04</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09" w:hRule="atLeast"/>
          <w:jc w:val="center"/>
        </w:trPr>
        <w:tc>
          <w:tcPr>
            <w:tcW w:w="1235" w:type="dxa"/>
            <w:vMerge w:val="restart"/>
            <w:vAlign w:val="center"/>
          </w:tcPr>
          <w:p>
            <w:pPr>
              <w:jc w:val="center"/>
              <w:rPr>
                <w:rFonts w:ascii="Times New Roman" w:hAnsi="Times New Roman" w:eastAsia="宋体"/>
                <w:b/>
                <w:bCs/>
                <w:kern w:val="0"/>
              </w:rPr>
            </w:pPr>
            <w:r>
              <w:rPr>
                <w:rFonts w:hint="eastAsia" w:ascii="Times New Roman" w:hAnsi="Times New Roman" w:eastAsia="宋体"/>
                <w:b/>
                <w:bCs/>
                <w:kern w:val="0"/>
              </w:rPr>
              <w:t>生源地区</w:t>
            </w:r>
          </w:p>
        </w:tc>
        <w:tc>
          <w:tcPr>
            <w:tcW w:w="1180" w:type="dxa"/>
            <w:vAlign w:val="center"/>
          </w:tcPr>
          <w:p>
            <w:pPr>
              <w:rPr>
                <w:rFonts w:ascii="Times New Roman" w:hAnsi="Times New Roman" w:eastAsia="宋体"/>
                <w:kern w:val="0"/>
              </w:rPr>
            </w:pPr>
            <w:r>
              <w:rPr>
                <w:rFonts w:hint="eastAsia" w:ascii="Times New Roman" w:hAnsi="Times New Roman" w:eastAsia="宋体"/>
                <w:kern w:val="0"/>
              </w:rPr>
              <w:t>北京生源</w:t>
            </w:r>
          </w:p>
        </w:tc>
        <w:tc>
          <w:tcPr>
            <w:tcW w:w="849" w:type="dxa"/>
            <w:vAlign w:val="center"/>
          </w:tcPr>
          <w:p>
            <w:pPr>
              <w:jc w:val="center"/>
              <w:rPr>
                <w:rFonts w:ascii="Times New Roman" w:hAnsi="Times New Roman" w:eastAsia="宋体"/>
                <w:kern w:val="0"/>
              </w:rPr>
            </w:pPr>
            <w:r>
              <w:rPr>
                <w:rFonts w:ascii="Times New Roman" w:hAnsi="Times New Roman" w:eastAsia="宋体"/>
                <w:kern w:val="0"/>
              </w:rPr>
              <w:t>23</w:t>
            </w:r>
          </w:p>
        </w:tc>
        <w:tc>
          <w:tcPr>
            <w:tcW w:w="851" w:type="dxa"/>
            <w:vAlign w:val="center"/>
          </w:tcPr>
          <w:p>
            <w:pPr>
              <w:jc w:val="center"/>
              <w:rPr>
                <w:rFonts w:ascii="Times New Roman" w:hAnsi="Times New Roman" w:eastAsia="宋体"/>
                <w:kern w:val="0"/>
              </w:rPr>
            </w:pPr>
            <w:r>
              <w:rPr>
                <w:rFonts w:ascii="Times New Roman" w:hAnsi="Times New Roman" w:eastAsia="宋体"/>
                <w:kern w:val="0"/>
              </w:rPr>
              <w:t>56.10</w:t>
            </w:r>
          </w:p>
        </w:tc>
        <w:tc>
          <w:tcPr>
            <w:tcW w:w="850" w:type="dxa"/>
            <w:vAlign w:val="center"/>
          </w:tcPr>
          <w:p>
            <w:pPr>
              <w:jc w:val="center"/>
              <w:rPr>
                <w:rFonts w:ascii="Times New Roman" w:hAnsi="Times New Roman" w:eastAsia="宋体"/>
                <w:kern w:val="0"/>
              </w:rPr>
            </w:pPr>
            <w:r>
              <w:rPr>
                <w:rFonts w:ascii="Times New Roman" w:hAnsi="Times New Roman" w:eastAsia="宋体"/>
                <w:kern w:val="0"/>
              </w:rPr>
              <w:t>11</w:t>
            </w:r>
          </w:p>
        </w:tc>
        <w:tc>
          <w:tcPr>
            <w:tcW w:w="851" w:type="dxa"/>
            <w:vAlign w:val="center"/>
          </w:tcPr>
          <w:p>
            <w:pPr>
              <w:jc w:val="center"/>
              <w:rPr>
                <w:rFonts w:ascii="Times New Roman" w:hAnsi="Times New Roman" w:eastAsia="宋体"/>
                <w:kern w:val="0"/>
              </w:rPr>
            </w:pPr>
            <w:r>
              <w:rPr>
                <w:rFonts w:ascii="Times New Roman" w:hAnsi="Times New Roman" w:eastAsia="宋体"/>
                <w:kern w:val="0"/>
              </w:rPr>
              <w:t>26.83</w:t>
            </w:r>
          </w:p>
        </w:tc>
        <w:tc>
          <w:tcPr>
            <w:tcW w:w="850" w:type="dxa"/>
            <w:vAlign w:val="center"/>
          </w:tcPr>
          <w:p>
            <w:pPr>
              <w:jc w:val="center"/>
              <w:rPr>
                <w:rFonts w:ascii="Times New Roman" w:hAnsi="Times New Roman" w:eastAsia="宋体"/>
                <w:kern w:val="0"/>
              </w:rPr>
            </w:pPr>
            <w:r>
              <w:rPr>
                <w:rFonts w:ascii="Times New Roman" w:hAnsi="Times New Roman" w:eastAsia="宋体"/>
                <w:kern w:val="0"/>
              </w:rPr>
              <w:t>7</w:t>
            </w:r>
          </w:p>
        </w:tc>
        <w:tc>
          <w:tcPr>
            <w:tcW w:w="851" w:type="dxa"/>
            <w:vAlign w:val="center"/>
          </w:tcPr>
          <w:p>
            <w:pPr>
              <w:jc w:val="center"/>
              <w:rPr>
                <w:rFonts w:ascii="Times New Roman" w:hAnsi="Times New Roman" w:eastAsia="宋体"/>
                <w:kern w:val="0"/>
              </w:rPr>
            </w:pPr>
            <w:r>
              <w:rPr>
                <w:rFonts w:ascii="Times New Roman" w:hAnsi="Times New Roman" w:eastAsia="宋体"/>
                <w:kern w:val="0"/>
              </w:rPr>
              <w:t>17.07</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09" w:hRule="atLeast"/>
          <w:jc w:val="center"/>
        </w:trPr>
        <w:tc>
          <w:tcPr>
            <w:tcW w:w="1235" w:type="dxa"/>
            <w:vMerge w:val="continue"/>
            <w:shd w:val="clear" w:color="auto" w:fill="DAEEF3" w:themeFill="accent5" w:themeFillTint="33"/>
            <w:vAlign w:val="center"/>
          </w:tcPr>
          <w:p>
            <w:pPr>
              <w:jc w:val="center"/>
              <w:rPr>
                <w:rFonts w:ascii="Times New Roman" w:hAnsi="Times New Roman" w:eastAsia="宋体"/>
                <w:b/>
                <w:bCs/>
                <w:kern w:val="0"/>
              </w:rPr>
            </w:pPr>
          </w:p>
        </w:tc>
        <w:tc>
          <w:tcPr>
            <w:tcW w:w="1180" w:type="dxa"/>
            <w:shd w:val="clear" w:color="auto" w:fill="DAEEF3" w:themeFill="accent5" w:themeFillTint="33"/>
            <w:vAlign w:val="center"/>
          </w:tcPr>
          <w:p>
            <w:pPr>
              <w:rPr>
                <w:rFonts w:ascii="Times New Roman" w:hAnsi="Times New Roman" w:eastAsia="宋体"/>
                <w:kern w:val="0"/>
              </w:rPr>
            </w:pPr>
            <w:r>
              <w:rPr>
                <w:rFonts w:hint="eastAsia" w:ascii="Times New Roman" w:hAnsi="Times New Roman" w:eastAsia="宋体"/>
                <w:kern w:val="0"/>
              </w:rPr>
              <w:t>京外生源</w:t>
            </w:r>
          </w:p>
        </w:tc>
        <w:tc>
          <w:tcPr>
            <w:tcW w:w="849" w:type="dxa"/>
            <w:shd w:val="clear" w:color="auto" w:fill="DAEEF3" w:themeFill="accent5" w:themeFillTint="33"/>
            <w:vAlign w:val="center"/>
          </w:tcPr>
          <w:p>
            <w:pPr>
              <w:jc w:val="center"/>
              <w:rPr>
                <w:rFonts w:ascii="Times New Roman" w:hAnsi="Times New Roman" w:eastAsia="宋体"/>
                <w:kern w:val="0"/>
              </w:rPr>
            </w:pPr>
            <w:r>
              <w:rPr>
                <w:rFonts w:ascii="Times New Roman" w:hAnsi="Times New Roman" w:eastAsia="宋体"/>
                <w:kern w:val="0"/>
              </w:rPr>
              <w:t>300</w:t>
            </w:r>
          </w:p>
        </w:tc>
        <w:tc>
          <w:tcPr>
            <w:tcW w:w="851" w:type="dxa"/>
            <w:shd w:val="clear" w:color="auto" w:fill="DAEEF3" w:themeFill="accent5" w:themeFillTint="33"/>
            <w:vAlign w:val="center"/>
          </w:tcPr>
          <w:p>
            <w:pPr>
              <w:jc w:val="center"/>
              <w:rPr>
                <w:rFonts w:ascii="Times New Roman" w:hAnsi="Times New Roman" w:eastAsia="宋体"/>
                <w:kern w:val="0"/>
              </w:rPr>
            </w:pPr>
            <w:r>
              <w:rPr>
                <w:rFonts w:ascii="Times New Roman" w:hAnsi="Times New Roman" w:eastAsia="宋体"/>
                <w:kern w:val="0"/>
              </w:rPr>
              <w:t>76.53</w:t>
            </w:r>
          </w:p>
        </w:tc>
        <w:tc>
          <w:tcPr>
            <w:tcW w:w="850" w:type="dxa"/>
            <w:shd w:val="clear" w:color="auto" w:fill="DAEEF3" w:themeFill="accent5" w:themeFillTint="33"/>
            <w:vAlign w:val="center"/>
          </w:tcPr>
          <w:p>
            <w:pPr>
              <w:jc w:val="center"/>
              <w:rPr>
                <w:rFonts w:ascii="Times New Roman" w:hAnsi="Times New Roman" w:eastAsia="宋体"/>
                <w:kern w:val="0"/>
              </w:rPr>
            </w:pPr>
            <w:r>
              <w:rPr>
                <w:rFonts w:ascii="Times New Roman" w:hAnsi="Times New Roman" w:eastAsia="宋体"/>
                <w:kern w:val="0"/>
              </w:rPr>
              <w:t>78</w:t>
            </w:r>
          </w:p>
        </w:tc>
        <w:tc>
          <w:tcPr>
            <w:tcW w:w="851" w:type="dxa"/>
            <w:shd w:val="clear" w:color="auto" w:fill="DAEEF3" w:themeFill="accent5" w:themeFillTint="33"/>
            <w:vAlign w:val="center"/>
          </w:tcPr>
          <w:p>
            <w:pPr>
              <w:jc w:val="center"/>
              <w:rPr>
                <w:rFonts w:ascii="Times New Roman" w:hAnsi="Times New Roman" w:eastAsia="宋体"/>
                <w:kern w:val="0"/>
              </w:rPr>
            </w:pPr>
            <w:r>
              <w:rPr>
                <w:rFonts w:ascii="Times New Roman" w:hAnsi="Times New Roman" w:eastAsia="宋体"/>
                <w:kern w:val="0"/>
              </w:rPr>
              <w:t>19.90</w:t>
            </w:r>
          </w:p>
        </w:tc>
        <w:tc>
          <w:tcPr>
            <w:tcW w:w="850" w:type="dxa"/>
            <w:shd w:val="clear" w:color="auto" w:fill="DAEEF3" w:themeFill="accent5" w:themeFillTint="33"/>
            <w:vAlign w:val="center"/>
          </w:tcPr>
          <w:p>
            <w:pPr>
              <w:jc w:val="center"/>
              <w:rPr>
                <w:rFonts w:ascii="Times New Roman" w:hAnsi="Times New Roman" w:eastAsia="宋体"/>
                <w:kern w:val="0"/>
              </w:rPr>
            </w:pPr>
            <w:r>
              <w:rPr>
                <w:rFonts w:ascii="Times New Roman" w:hAnsi="Times New Roman" w:eastAsia="宋体"/>
                <w:kern w:val="0"/>
              </w:rPr>
              <w:t>14</w:t>
            </w:r>
          </w:p>
        </w:tc>
        <w:tc>
          <w:tcPr>
            <w:tcW w:w="851" w:type="dxa"/>
            <w:shd w:val="clear" w:color="auto" w:fill="DAEEF3" w:themeFill="accent5" w:themeFillTint="33"/>
            <w:vAlign w:val="center"/>
          </w:tcPr>
          <w:p>
            <w:pPr>
              <w:jc w:val="center"/>
              <w:rPr>
                <w:rFonts w:ascii="Times New Roman" w:hAnsi="Times New Roman" w:eastAsia="宋体"/>
                <w:kern w:val="0"/>
              </w:rPr>
            </w:pPr>
            <w:r>
              <w:rPr>
                <w:rFonts w:ascii="Times New Roman" w:hAnsi="Times New Roman" w:eastAsia="宋体"/>
                <w:kern w:val="0"/>
              </w:rPr>
              <w:t>3.57</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09" w:hRule="atLeast"/>
          <w:jc w:val="center"/>
        </w:trPr>
        <w:tc>
          <w:tcPr>
            <w:tcW w:w="1235" w:type="dxa"/>
            <w:vAlign w:val="center"/>
          </w:tcPr>
          <w:p>
            <w:pPr>
              <w:jc w:val="center"/>
              <w:rPr>
                <w:rFonts w:ascii="Times New Roman" w:hAnsi="Times New Roman" w:eastAsia="宋体"/>
                <w:b/>
                <w:bCs/>
                <w:kern w:val="0"/>
              </w:rPr>
            </w:pPr>
            <w:r>
              <w:rPr>
                <w:rFonts w:hint="eastAsia" w:ascii="Times New Roman" w:hAnsi="Times New Roman" w:eastAsia="宋体"/>
                <w:b/>
                <w:bCs/>
                <w:kern w:val="0"/>
              </w:rPr>
              <w:t>总计</w:t>
            </w:r>
          </w:p>
        </w:tc>
        <w:tc>
          <w:tcPr>
            <w:tcW w:w="1180" w:type="dxa"/>
            <w:vAlign w:val="center"/>
          </w:tcPr>
          <w:p>
            <w:pPr>
              <w:rPr>
                <w:rFonts w:ascii="Times New Roman" w:hAnsi="Times New Roman" w:eastAsia="宋体"/>
                <w:kern w:val="0"/>
              </w:rPr>
            </w:pPr>
            <w:r>
              <w:rPr>
                <w:rFonts w:hint="eastAsia" w:ascii="Times New Roman" w:hAnsi="Times New Roman" w:eastAsia="宋体"/>
                <w:kern w:val="0"/>
              </w:rPr>
              <w:t>总体</w:t>
            </w:r>
          </w:p>
        </w:tc>
        <w:tc>
          <w:tcPr>
            <w:tcW w:w="849" w:type="dxa"/>
            <w:vAlign w:val="center"/>
          </w:tcPr>
          <w:p>
            <w:pPr>
              <w:jc w:val="center"/>
              <w:rPr>
                <w:rFonts w:ascii="Times New Roman" w:hAnsi="Times New Roman" w:eastAsia="宋体"/>
                <w:kern w:val="0"/>
              </w:rPr>
            </w:pPr>
            <w:r>
              <w:rPr>
                <w:rFonts w:ascii="Times New Roman" w:hAnsi="Times New Roman" w:eastAsia="宋体"/>
                <w:kern w:val="0"/>
              </w:rPr>
              <w:t>323</w:t>
            </w:r>
          </w:p>
        </w:tc>
        <w:tc>
          <w:tcPr>
            <w:tcW w:w="851" w:type="dxa"/>
            <w:vAlign w:val="center"/>
          </w:tcPr>
          <w:p>
            <w:pPr>
              <w:jc w:val="center"/>
              <w:rPr>
                <w:rFonts w:ascii="Times New Roman" w:hAnsi="Times New Roman" w:eastAsia="宋体"/>
                <w:kern w:val="0"/>
              </w:rPr>
            </w:pPr>
            <w:r>
              <w:rPr>
                <w:rFonts w:ascii="Times New Roman" w:hAnsi="Times New Roman" w:eastAsia="宋体"/>
                <w:kern w:val="0"/>
              </w:rPr>
              <w:t>74.60</w:t>
            </w:r>
          </w:p>
        </w:tc>
        <w:tc>
          <w:tcPr>
            <w:tcW w:w="850" w:type="dxa"/>
            <w:vAlign w:val="center"/>
          </w:tcPr>
          <w:p>
            <w:pPr>
              <w:jc w:val="center"/>
              <w:rPr>
                <w:rFonts w:ascii="Times New Roman" w:hAnsi="Times New Roman" w:eastAsia="宋体"/>
                <w:kern w:val="0"/>
              </w:rPr>
            </w:pPr>
            <w:r>
              <w:rPr>
                <w:rFonts w:ascii="Times New Roman" w:hAnsi="Times New Roman" w:eastAsia="宋体"/>
                <w:kern w:val="0"/>
              </w:rPr>
              <w:t>89</w:t>
            </w:r>
          </w:p>
        </w:tc>
        <w:tc>
          <w:tcPr>
            <w:tcW w:w="851" w:type="dxa"/>
            <w:vAlign w:val="center"/>
          </w:tcPr>
          <w:p>
            <w:pPr>
              <w:jc w:val="center"/>
              <w:rPr>
                <w:rFonts w:ascii="Times New Roman" w:hAnsi="Times New Roman" w:eastAsia="宋体"/>
                <w:kern w:val="0"/>
              </w:rPr>
            </w:pPr>
            <w:r>
              <w:rPr>
                <w:rFonts w:ascii="Times New Roman" w:hAnsi="Times New Roman" w:eastAsia="宋体"/>
                <w:kern w:val="0"/>
              </w:rPr>
              <w:t>20.55</w:t>
            </w:r>
          </w:p>
        </w:tc>
        <w:tc>
          <w:tcPr>
            <w:tcW w:w="850" w:type="dxa"/>
            <w:vAlign w:val="center"/>
          </w:tcPr>
          <w:p>
            <w:pPr>
              <w:jc w:val="center"/>
              <w:rPr>
                <w:rFonts w:ascii="Times New Roman" w:hAnsi="Times New Roman" w:eastAsia="宋体"/>
                <w:kern w:val="0"/>
              </w:rPr>
            </w:pPr>
            <w:r>
              <w:rPr>
                <w:rFonts w:ascii="Times New Roman" w:hAnsi="Times New Roman" w:eastAsia="宋体"/>
                <w:kern w:val="0"/>
              </w:rPr>
              <w:t>21</w:t>
            </w:r>
          </w:p>
        </w:tc>
        <w:tc>
          <w:tcPr>
            <w:tcW w:w="851" w:type="dxa"/>
            <w:vAlign w:val="center"/>
          </w:tcPr>
          <w:p>
            <w:pPr>
              <w:jc w:val="center"/>
              <w:rPr>
                <w:rFonts w:ascii="Times New Roman" w:hAnsi="Times New Roman" w:eastAsia="宋体"/>
                <w:kern w:val="0"/>
              </w:rPr>
            </w:pPr>
            <w:r>
              <w:rPr>
                <w:rFonts w:ascii="Times New Roman" w:hAnsi="Times New Roman" w:eastAsia="宋体"/>
                <w:kern w:val="0"/>
              </w:rPr>
              <w:t>4.85</w:t>
            </w:r>
          </w:p>
        </w:tc>
      </w:tr>
    </w:tbl>
    <w:p/>
    <w:p/>
    <w:p>
      <w:pPr>
        <w:pStyle w:val="123"/>
        <w:ind w:firstLine="480"/>
      </w:pPr>
      <w:r>
        <w:rPr>
          <w:rFonts w:hint="eastAsia"/>
        </w:rPr>
        <w:t>从院系和专业来看，本校2017届毕业生来自</w:t>
      </w:r>
      <w:bookmarkStart w:id="24" w:name="PO_length1"/>
      <w:bookmarkEnd w:id="24"/>
      <w:bookmarkStart w:id="25" w:name="PO_length2"/>
      <w:bookmarkEnd w:id="25"/>
      <w:r>
        <w:t>17</w:t>
      </w:r>
      <w:r>
        <w:rPr>
          <w:rFonts w:hint="eastAsia"/>
        </w:rPr>
        <w:t>个专业，</w:t>
      </w:r>
      <w:bookmarkStart w:id="26" w:name="PO_21E"/>
      <w:bookmarkEnd w:id="26"/>
      <w:r>
        <w:rPr>
          <w:rFonts w:hint="eastAsia"/>
        </w:rPr>
        <w:t>毕业生人数最多的前三个专业依次为戏剧影视导演（101人）、戏剧与影视学（58人）、表演（戏剧影视表演）（49人）。具体人数如下表所示</w:t>
      </w:r>
      <w:r>
        <w:t>：</w:t>
      </w:r>
    </w:p>
    <w:p>
      <w:pPr>
        <w:pStyle w:val="55"/>
        <w:adjustRightInd/>
        <w:snapToGrid/>
        <w:spacing w:before="312" w:after="156"/>
        <w:ind w:left="420" w:hanging="420"/>
      </w:pPr>
      <w:bookmarkStart w:id="27" w:name="PO_21F"/>
      <w:bookmarkEnd w:id="27"/>
      <w:r>
        <w:rPr>
          <w:rFonts w:hint="eastAsia"/>
        </w:rPr>
        <w:t>毕业生专业分布</w:t>
      </w:r>
    </w:p>
    <w:tbl>
      <w:tblPr>
        <w:tblStyle w:val="144"/>
        <w:tblW w:w="6419" w:type="dxa"/>
        <w:jc w:val="center"/>
        <w:tblInd w:w="0"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1207"/>
        <w:gridCol w:w="3573"/>
        <w:gridCol w:w="712"/>
        <w:gridCol w:w="927"/>
      </w:tblGrid>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170" w:hRule="atLeast"/>
          <w:jc w:val="center"/>
        </w:trPr>
        <w:tc>
          <w:tcPr>
            <w:tcW w:w="1207" w:type="dxa"/>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hint="eastAsia" w:asciiTheme="minorEastAsia" w:hAnsiTheme="minorEastAsia" w:eastAsiaTheme="minorEastAsia" w:cstheme="minorEastAsia"/>
                <w:b/>
                <w:bCs/>
                <w:color w:val="000000"/>
                <w:kern w:val="0"/>
                <w:szCs w:val="21"/>
              </w:rPr>
            </w:pPr>
            <w:r>
              <w:rPr>
                <w:rFonts w:hint="eastAsia" w:asciiTheme="minorEastAsia" w:hAnsiTheme="minorEastAsia" w:eastAsiaTheme="minorEastAsia" w:cstheme="minorEastAsia"/>
                <w:b/>
                <w:bCs/>
                <w:color w:val="000000"/>
                <w:kern w:val="0"/>
                <w:szCs w:val="21"/>
              </w:rPr>
              <w:t>学历层次</w:t>
            </w:r>
          </w:p>
        </w:tc>
        <w:tc>
          <w:tcPr>
            <w:tcW w:w="3573" w:type="dxa"/>
            <w:tcBorders>
              <w:top w:val="single" w:color="4BACC6" w:themeColor="accent5" w:sz="4" w:space="0"/>
              <w:bottom w:val="single" w:color="4BACC6" w:themeColor="accent5" w:sz="4" w:space="0"/>
              <w:right w:val="nil"/>
              <w:insideH w:val="single" w:sz="4" w:space="0"/>
              <w:insideV w:val="nil"/>
            </w:tcBorders>
            <w:shd w:val="clear" w:color="auto" w:fill="4BACC6" w:themeFill="accent5"/>
          </w:tcPr>
          <w:p>
            <w:pPr>
              <w:widowControl/>
              <w:jc w:val="center"/>
              <w:rPr>
                <w:rFonts w:hint="eastAsia" w:asciiTheme="minorEastAsia" w:hAnsiTheme="minorEastAsia" w:eastAsiaTheme="minorEastAsia" w:cstheme="minorEastAsia"/>
                <w:b/>
                <w:bCs/>
                <w:color w:val="000000"/>
                <w:kern w:val="0"/>
                <w:szCs w:val="21"/>
              </w:rPr>
            </w:pPr>
            <w:r>
              <w:rPr>
                <w:rFonts w:hint="eastAsia" w:asciiTheme="minorEastAsia" w:hAnsiTheme="minorEastAsia" w:eastAsiaTheme="minorEastAsia" w:cstheme="minorEastAsia"/>
                <w:b/>
                <w:bCs/>
                <w:color w:val="000000"/>
                <w:kern w:val="0"/>
                <w:szCs w:val="21"/>
              </w:rPr>
              <w:t>专业</w:t>
            </w:r>
          </w:p>
        </w:tc>
        <w:tc>
          <w:tcPr>
            <w:tcW w:w="712" w:type="dxa"/>
            <w:tcBorders>
              <w:top w:val="single" w:color="4BACC6" w:themeColor="accent5" w:sz="4" w:space="0"/>
              <w:bottom w:val="single" w:color="4BACC6" w:themeColor="accent5" w:sz="4" w:space="0"/>
              <w:right w:val="nil"/>
              <w:insideH w:val="single" w:sz="4" w:space="0"/>
              <w:insideV w:val="nil"/>
            </w:tcBorders>
            <w:shd w:val="clear" w:color="auto" w:fill="4BACC6" w:themeFill="accent5"/>
          </w:tcPr>
          <w:p>
            <w:pPr>
              <w:widowControl/>
              <w:jc w:val="center"/>
              <w:rPr>
                <w:rFonts w:hint="eastAsia" w:asciiTheme="minorEastAsia" w:hAnsiTheme="minorEastAsia" w:eastAsiaTheme="minorEastAsia" w:cstheme="minorEastAsia"/>
                <w:b/>
                <w:bCs/>
                <w:color w:val="000000"/>
                <w:kern w:val="0"/>
                <w:szCs w:val="21"/>
              </w:rPr>
            </w:pPr>
            <w:r>
              <w:rPr>
                <w:rFonts w:hint="eastAsia" w:asciiTheme="minorEastAsia" w:hAnsiTheme="minorEastAsia" w:eastAsiaTheme="minorEastAsia" w:cstheme="minorEastAsia"/>
                <w:b/>
                <w:bCs/>
                <w:color w:val="000000"/>
                <w:kern w:val="0"/>
                <w:szCs w:val="21"/>
              </w:rPr>
              <w:t>人数</w:t>
            </w:r>
          </w:p>
        </w:tc>
        <w:tc>
          <w:tcPr>
            <w:tcW w:w="927" w:type="dxa"/>
            <w:tcBorders>
              <w:top w:val="single" w:color="4BACC6" w:themeColor="accent5" w:sz="4" w:space="0"/>
              <w:bottom w:val="single" w:color="4BACC6" w:themeColor="accent5" w:sz="4" w:space="0"/>
              <w:right w:val="single" w:color="4BACC6" w:themeColor="accent5" w:sz="4" w:space="0"/>
              <w:insideH w:val="single" w:sz="4" w:space="0"/>
              <w:insideV w:val="nil"/>
            </w:tcBorders>
            <w:shd w:val="clear" w:color="auto" w:fill="4BACC6" w:themeFill="accent5"/>
          </w:tcPr>
          <w:p>
            <w:pPr>
              <w:widowControl/>
              <w:jc w:val="center"/>
              <w:rPr>
                <w:rFonts w:hint="eastAsia" w:asciiTheme="minorEastAsia" w:hAnsiTheme="minorEastAsia" w:eastAsiaTheme="minorEastAsia" w:cstheme="minorEastAsia"/>
                <w:b/>
                <w:bCs/>
                <w:color w:val="000000"/>
                <w:kern w:val="0"/>
                <w:szCs w:val="21"/>
              </w:rPr>
            </w:pPr>
            <w:r>
              <w:rPr>
                <w:rFonts w:hint="eastAsia" w:asciiTheme="minorEastAsia" w:hAnsiTheme="minorEastAsia" w:eastAsiaTheme="minorEastAsia" w:cstheme="minorEastAsia"/>
                <w:b/>
                <w:bCs/>
                <w:color w:val="000000"/>
                <w:kern w:val="0"/>
                <w:szCs w:val="21"/>
              </w:rPr>
              <w:t>%</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54" w:hRule="atLeast"/>
          <w:jc w:val="center"/>
        </w:trPr>
        <w:tc>
          <w:tcPr>
            <w:tcW w:w="1207" w:type="dxa"/>
            <w:vMerge w:val="restart"/>
            <w:shd w:val="clear" w:color="auto" w:fill="auto"/>
            <w:vAlign w:val="center"/>
          </w:tcPr>
          <w:p>
            <w:pPr>
              <w:widowControl/>
              <w:jc w:val="center"/>
              <w:rPr>
                <w:rFonts w:hint="eastAsia" w:asciiTheme="minorEastAsia" w:hAnsiTheme="minorEastAsia" w:eastAsiaTheme="minorEastAsia" w:cstheme="minorEastAsia"/>
                <w:b/>
                <w:bCs/>
                <w:color w:val="000000"/>
                <w:kern w:val="0"/>
                <w:szCs w:val="21"/>
              </w:rPr>
            </w:pPr>
            <w:r>
              <w:rPr>
                <w:rFonts w:hint="eastAsia" w:asciiTheme="minorEastAsia" w:hAnsiTheme="minorEastAsia" w:eastAsiaTheme="minorEastAsia" w:cstheme="minorEastAsia"/>
                <w:b/>
                <w:bCs/>
                <w:color w:val="000000"/>
                <w:kern w:val="0"/>
                <w:szCs w:val="21"/>
              </w:rPr>
              <w:t>本科生</w:t>
            </w:r>
          </w:p>
          <w:p>
            <w:pPr>
              <w:jc w:val="center"/>
              <w:rPr>
                <w:rFonts w:hint="eastAsia" w:asciiTheme="minorEastAsia" w:hAnsiTheme="minorEastAsia" w:eastAsiaTheme="minorEastAsia" w:cstheme="minorEastAsia"/>
                <w:b/>
                <w:bCs/>
                <w:color w:val="000000"/>
                <w:kern w:val="0"/>
                <w:szCs w:val="21"/>
              </w:rPr>
            </w:pPr>
            <w:r>
              <w:rPr>
                <w:rFonts w:hint="eastAsia" w:asciiTheme="minorEastAsia" w:hAnsiTheme="minorEastAsia" w:eastAsiaTheme="minorEastAsia" w:cstheme="minorEastAsia"/>
                <w:b/>
                <w:bCs/>
                <w:color w:val="000000"/>
                <w:kern w:val="0"/>
                <w:szCs w:val="21"/>
              </w:rPr>
              <w:t>（N=323）</w:t>
            </w:r>
          </w:p>
        </w:tc>
        <w:tc>
          <w:tcPr>
            <w:tcW w:w="3573" w:type="dxa"/>
            <w:shd w:val="clear" w:color="auto" w:fill="DAEEF3" w:themeFill="accent5" w:themeFillTint="33"/>
            <w:vAlign w:val="center"/>
          </w:tcPr>
          <w:p>
            <w:pPr>
              <w:widowControl/>
              <w:jc w:val="left"/>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表演（戏剧影视表演）</w:t>
            </w:r>
          </w:p>
        </w:tc>
        <w:tc>
          <w:tcPr>
            <w:tcW w:w="712" w:type="dxa"/>
            <w:shd w:val="clear" w:color="auto" w:fill="DAEEF3" w:themeFill="accent5" w:themeFillTint="33"/>
            <w:vAlign w:val="center"/>
          </w:tcPr>
          <w:p>
            <w:pPr>
              <w:widowControl/>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49</w:t>
            </w:r>
          </w:p>
        </w:tc>
        <w:tc>
          <w:tcPr>
            <w:tcW w:w="927" w:type="dxa"/>
            <w:shd w:val="clear" w:color="auto" w:fill="DAEEF3" w:themeFill="accent5" w:themeFillTint="33"/>
            <w:vAlign w:val="center"/>
          </w:tcPr>
          <w:p>
            <w:pPr>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11.32 </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54" w:hRule="atLeast"/>
          <w:jc w:val="center"/>
        </w:trPr>
        <w:tc>
          <w:tcPr>
            <w:tcW w:w="1207" w:type="dxa"/>
            <w:vMerge w:val="continue"/>
            <w:shd w:val="clear" w:color="auto" w:fill="auto"/>
            <w:vAlign w:val="center"/>
          </w:tcPr>
          <w:p>
            <w:pPr>
              <w:jc w:val="center"/>
              <w:rPr>
                <w:rFonts w:hint="eastAsia" w:asciiTheme="minorEastAsia" w:hAnsiTheme="minorEastAsia" w:eastAsiaTheme="minorEastAsia" w:cstheme="minorEastAsia"/>
                <w:b/>
                <w:bCs/>
                <w:color w:val="000000"/>
                <w:kern w:val="0"/>
                <w:szCs w:val="21"/>
              </w:rPr>
            </w:pPr>
          </w:p>
        </w:tc>
        <w:tc>
          <w:tcPr>
            <w:tcW w:w="3573" w:type="dxa"/>
            <w:vAlign w:val="center"/>
          </w:tcPr>
          <w:p>
            <w:pPr>
              <w:widowControl/>
              <w:jc w:val="left"/>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表演（音乐剧）</w:t>
            </w:r>
          </w:p>
        </w:tc>
        <w:tc>
          <w:tcPr>
            <w:tcW w:w="712" w:type="dxa"/>
            <w:vAlign w:val="center"/>
          </w:tcPr>
          <w:p>
            <w:pPr>
              <w:widowControl/>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29</w:t>
            </w:r>
          </w:p>
        </w:tc>
        <w:tc>
          <w:tcPr>
            <w:tcW w:w="927" w:type="dxa"/>
            <w:vAlign w:val="center"/>
          </w:tcPr>
          <w:p>
            <w:pPr>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6.70 </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54" w:hRule="atLeast"/>
          <w:jc w:val="center"/>
        </w:trPr>
        <w:tc>
          <w:tcPr>
            <w:tcW w:w="1207" w:type="dxa"/>
            <w:vMerge w:val="continue"/>
            <w:shd w:val="clear" w:color="auto" w:fill="auto"/>
            <w:vAlign w:val="center"/>
          </w:tcPr>
          <w:p>
            <w:pPr>
              <w:jc w:val="center"/>
              <w:rPr>
                <w:rFonts w:hint="eastAsia" w:asciiTheme="minorEastAsia" w:hAnsiTheme="minorEastAsia" w:eastAsiaTheme="minorEastAsia" w:cstheme="minorEastAsia"/>
                <w:b/>
                <w:bCs/>
                <w:color w:val="000000"/>
                <w:kern w:val="0"/>
                <w:szCs w:val="21"/>
              </w:rPr>
            </w:pPr>
          </w:p>
        </w:tc>
        <w:tc>
          <w:tcPr>
            <w:tcW w:w="3573" w:type="dxa"/>
            <w:shd w:val="clear" w:color="auto" w:fill="DAEEF3" w:themeFill="accent5" w:themeFillTint="33"/>
            <w:vAlign w:val="center"/>
          </w:tcPr>
          <w:p>
            <w:pPr>
              <w:widowControl/>
              <w:jc w:val="left"/>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表演（京剧）</w:t>
            </w:r>
          </w:p>
        </w:tc>
        <w:tc>
          <w:tcPr>
            <w:tcW w:w="712" w:type="dxa"/>
            <w:shd w:val="clear" w:color="auto" w:fill="DAEEF3" w:themeFill="accent5" w:themeFillTint="33"/>
            <w:vAlign w:val="center"/>
          </w:tcPr>
          <w:p>
            <w:pPr>
              <w:widowControl/>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22</w:t>
            </w:r>
          </w:p>
        </w:tc>
        <w:tc>
          <w:tcPr>
            <w:tcW w:w="927" w:type="dxa"/>
            <w:shd w:val="clear" w:color="auto" w:fill="DAEEF3" w:themeFill="accent5" w:themeFillTint="33"/>
            <w:vAlign w:val="center"/>
          </w:tcPr>
          <w:p>
            <w:pPr>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5.08 </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90" w:hRule="atLeast"/>
          <w:jc w:val="center"/>
        </w:trPr>
        <w:tc>
          <w:tcPr>
            <w:tcW w:w="1207" w:type="dxa"/>
            <w:vMerge w:val="continue"/>
            <w:shd w:val="clear" w:color="auto" w:fill="auto"/>
            <w:vAlign w:val="center"/>
          </w:tcPr>
          <w:p>
            <w:pPr>
              <w:jc w:val="center"/>
              <w:rPr>
                <w:rFonts w:hint="eastAsia" w:asciiTheme="minorEastAsia" w:hAnsiTheme="minorEastAsia" w:eastAsiaTheme="minorEastAsia" w:cstheme="minorEastAsia"/>
                <w:b/>
                <w:bCs/>
                <w:color w:val="000000"/>
                <w:kern w:val="0"/>
                <w:szCs w:val="21"/>
              </w:rPr>
            </w:pPr>
          </w:p>
        </w:tc>
        <w:tc>
          <w:tcPr>
            <w:tcW w:w="3573" w:type="dxa"/>
            <w:shd w:val="clear" w:color="auto" w:fill="DAEEF3" w:themeFill="accent5" w:themeFillTint="33"/>
            <w:vAlign w:val="center"/>
          </w:tcPr>
          <w:p>
            <w:pPr>
              <w:widowControl/>
              <w:jc w:val="left"/>
              <w:rPr>
                <w:rFonts w:hint="eastAsia" w:asciiTheme="minorEastAsia" w:hAnsiTheme="minorEastAsia" w:eastAsiaTheme="minorEastAsia" w:cstheme="minorEastAsia"/>
                <w:b/>
                <w:bCs/>
                <w:color w:val="000000"/>
                <w:kern w:val="0"/>
                <w:szCs w:val="21"/>
              </w:rPr>
            </w:pPr>
            <w:r>
              <w:rPr>
                <w:rFonts w:hint="eastAsia" w:asciiTheme="minorEastAsia" w:hAnsiTheme="minorEastAsia" w:eastAsiaTheme="minorEastAsia" w:cstheme="minorEastAsia"/>
                <w:b w:val="0"/>
                <w:bCs w:val="0"/>
                <w:color w:val="000000"/>
                <w:kern w:val="0"/>
                <w:szCs w:val="21"/>
              </w:rPr>
              <w:t>戏剧学(戏剧史论与批评)</w:t>
            </w:r>
          </w:p>
        </w:tc>
        <w:tc>
          <w:tcPr>
            <w:tcW w:w="712" w:type="dxa"/>
            <w:shd w:val="clear" w:color="auto" w:fill="DAEEF3" w:themeFill="accent5" w:themeFillTint="33"/>
            <w:vAlign w:val="center"/>
          </w:tcPr>
          <w:p>
            <w:pPr>
              <w:widowControl/>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35</w:t>
            </w:r>
          </w:p>
        </w:tc>
        <w:tc>
          <w:tcPr>
            <w:tcW w:w="927" w:type="dxa"/>
            <w:shd w:val="clear" w:color="auto" w:fill="DAEEF3" w:themeFill="accent5" w:themeFillTint="33"/>
            <w:vAlign w:val="center"/>
          </w:tcPr>
          <w:p>
            <w:pPr>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8.08 </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54" w:hRule="atLeast"/>
          <w:jc w:val="center"/>
        </w:trPr>
        <w:tc>
          <w:tcPr>
            <w:tcW w:w="1207" w:type="dxa"/>
            <w:vMerge w:val="continue"/>
            <w:shd w:val="clear" w:color="auto" w:fill="auto"/>
            <w:vAlign w:val="center"/>
          </w:tcPr>
          <w:p>
            <w:pPr>
              <w:jc w:val="center"/>
              <w:rPr>
                <w:rFonts w:hint="eastAsia" w:asciiTheme="minorEastAsia" w:hAnsiTheme="minorEastAsia" w:eastAsiaTheme="minorEastAsia" w:cstheme="minorEastAsia"/>
                <w:b/>
                <w:bCs/>
                <w:color w:val="000000"/>
                <w:kern w:val="0"/>
                <w:szCs w:val="21"/>
              </w:rPr>
            </w:pPr>
          </w:p>
        </w:tc>
        <w:tc>
          <w:tcPr>
            <w:tcW w:w="3573" w:type="dxa"/>
            <w:vAlign w:val="center"/>
          </w:tcPr>
          <w:p>
            <w:pPr>
              <w:widowControl/>
              <w:jc w:val="left"/>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戏剧影视文学(电视剧创作)</w:t>
            </w:r>
          </w:p>
        </w:tc>
        <w:tc>
          <w:tcPr>
            <w:tcW w:w="712" w:type="dxa"/>
            <w:vAlign w:val="center"/>
          </w:tcPr>
          <w:p>
            <w:pPr>
              <w:widowControl/>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13</w:t>
            </w:r>
          </w:p>
        </w:tc>
        <w:tc>
          <w:tcPr>
            <w:tcW w:w="927" w:type="dxa"/>
            <w:vAlign w:val="center"/>
          </w:tcPr>
          <w:p>
            <w:pPr>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3.00 </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54" w:hRule="atLeast"/>
          <w:jc w:val="center"/>
        </w:trPr>
        <w:tc>
          <w:tcPr>
            <w:tcW w:w="1207" w:type="dxa"/>
            <w:vMerge w:val="continue"/>
            <w:shd w:val="clear" w:color="auto" w:fill="auto"/>
            <w:vAlign w:val="center"/>
          </w:tcPr>
          <w:p>
            <w:pPr>
              <w:jc w:val="center"/>
              <w:rPr>
                <w:rFonts w:hint="eastAsia" w:asciiTheme="minorEastAsia" w:hAnsiTheme="minorEastAsia" w:eastAsiaTheme="minorEastAsia" w:cstheme="minorEastAsia"/>
                <w:b/>
                <w:bCs/>
                <w:color w:val="000000"/>
                <w:kern w:val="0"/>
                <w:szCs w:val="21"/>
              </w:rPr>
            </w:pPr>
          </w:p>
        </w:tc>
        <w:tc>
          <w:tcPr>
            <w:tcW w:w="3573" w:type="dxa"/>
            <w:shd w:val="clear" w:color="auto" w:fill="DAEEF3" w:themeFill="accent5" w:themeFillTint="33"/>
            <w:vAlign w:val="center"/>
          </w:tcPr>
          <w:p>
            <w:pPr>
              <w:widowControl/>
              <w:jc w:val="left"/>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戏剧影视美术设计(舞台灯光)</w:t>
            </w:r>
          </w:p>
        </w:tc>
        <w:tc>
          <w:tcPr>
            <w:tcW w:w="712" w:type="dxa"/>
            <w:shd w:val="clear" w:color="auto" w:fill="DAEEF3" w:themeFill="accent5" w:themeFillTint="33"/>
            <w:vAlign w:val="center"/>
          </w:tcPr>
          <w:p>
            <w:pPr>
              <w:widowControl/>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17</w:t>
            </w:r>
          </w:p>
        </w:tc>
        <w:tc>
          <w:tcPr>
            <w:tcW w:w="927" w:type="dxa"/>
            <w:shd w:val="clear" w:color="auto" w:fill="DAEEF3" w:themeFill="accent5" w:themeFillTint="33"/>
            <w:vAlign w:val="center"/>
          </w:tcPr>
          <w:p>
            <w:pPr>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3.93 </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54" w:hRule="atLeast"/>
          <w:jc w:val="center"/>
        </w:trPr>
        <w:tc>
          <w:tcPr>
            <w:tcW w:w="1207" w:type="dxa"/>
            <w:vMerge w:val="continue"/>
            <w:shd w:val="clear" w:color="auto" w:fill="auto"/>
            <w:vAlign w:val="center"/>
          </w:tcPr>
          <w:p>
            <w:pPr>
              <w:jc w:val="center"/>
              <w:rPr>
                <w:rFonts w:hint="eastAsia" w:asciiTheme="minorEastAsia" w:hAnsiTheme="minorEastAsia" w:eastAsiaTheme="minorEastAsia" w:cstheme="minorEastAsia"/>
                <w:b/>
                <w:bCs/>
                <w:color w:val="000000"/>
                <w:kern w:val="0"/>
                <w:szCs w:val="21"/>
              </w:rPr>
            </w:pPr>
          </w:p>
        </w:tc>
        <w:tc>
          <w:tcPr>
            <w:tcW w:w="3573" w:type="dxa"/>
            <w:vAlign w:val="center"/>
          </w:tcPr>
          <w:p>
            <w:pPr>
              <w:widowControl/>
              <w:jc w:val="left"/>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戏剧影视美术设计(舞台服装)</w:t>
            </w:r>
          </w:p>
        </w:tc>
        <w:tc>
          <w:tcPr>
            <w:tcW w:w="712" w:type="dxa"/>
            <w:vAlign w:val="center"/>
          </w:tcPr>
          <w:p>
            <w:pPr>
              <w:widowControl/>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17</w:t>
            </w:r>
          </w:p>
        </w:tc>
        <w:tc>
          <w:tcPr>
            <w:tcW w:w="927" w:type="dxa"/>
            <w:vAlign w:val="center"/>
          </w:tcPr>
          <w:p>
            <w:pPr>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3.93 </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54" w:hRule="atLeast"/>
          <w:jc w:val="center"/>
        </w:trPr>
        <w:tc>
          <w:tcPr>
            <w:tcW w:w="1207" w:type="dxa"/>
            <w:vMerge w:val="continue"/>
            <w:shd w:val="clear" w:color="auto" w:fill="auto"/>
            <w:vAlign w:val="center"/>
          </w:tcPr>
          <w:p>
            <w:pPr>
              <w:jc w:val="center"/>
              <w:rPr>
                <w:rFonts w:hint="eastAsia" w:asciiTheme="minorEastAsia" w:hAnsiTheme="minorEastAsia" w:eastAsiaTheme="minorEastAsia" w:cstheme="minorEastAsia"/>
                <w:b/>
                <w:bCs/>
                <w:color w:val="000000"/>
                <w:kern w:val="0"/>
                <w:szCs w:val="21"/>
              </w:rPr>
            </w:pPr>
          </w:p>
        </w:tc>
        <w:tc>
          <w:tcPr>
            <w:tcW w:w="3573" w:type="dxa"/>
            <w:shd w:val="clear" w:color="auto" w:fill="DAEEF3" w:themeFill="accent5" w:themeFillTint="33"/>
            <w:vAlign w:val="center"/>
          </w:tcPr>
          <w:p>
            <w:pPr>
              <w:widowControl/>
              <w:jc w:val="left"/>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戏剧影视美术设计(舞台化装)</w:t>
            </w:r>
          </w:p>
        </w:tc>
        <w:tc>
          <w:tcPr>
            <w:tcW w:w="712" w:type="dxa"/>
            <w:shd w:val="clear" w:color="auto" w:fill="DAEEF3" w:themeFill="accent5" w:themeFillTint="33"/>
            <w:vAlign w:val="center"/>
          </w:tcPr>
          <w:p>
            <w:pPr>
              <w:widowControl/>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17</w:t>
            </w:r>
          </w:p>
        </w:tc>
        <w:tc>
          <w:tcPr>
            <w:tcW w:w="927" w:type="dxa"/>
            <w:shd w:val="clear" w:color="auto" w:fill="DAEEF3" w:themeFill="accent5" w:themeFillTint="33"/>
            <w:vAlign w:val="center"/>
          </w:tcPr>
          <w:p>
            <w:pPr>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3.93</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54" w:hRule="atLeast"/>
          <w:jc w:val="center"/>
        </w:trPr>
        <w:tc>
          <w:tcPr>
            <w:tcW w:w="1207" w:type="dxa"/>
            <w:vMerge w:val="continue"/>
            <w:shd w:val="clear" w:color="auto" w:fill="auto"/>
            <w:vAlign w:val="center"/>
          </w:tcPr>
          <w:p>
            <w:pPr>
              <w:jc w:val="center"/>
              <w:rPr>
                <w:rFonts w:hint="eastAsia" w:asciiTheme="minorEastAsia" w:hAnsiTheme="minorEastAsia" w:eastAsiaTheme="minorEastAsia" w:cstheme="minorEastAsia"/>
                <w:b/>
                <w:bCs/>
                <w:color w:val="000000"/>
                <w:kern w:val="0"/>
                <w:szCs w:val="21"/>
              </w:rPr>
            </w:pPr>
          </w:p>
        </w:tc>
        <w:tc>
          <w:tcPr>
            <w:tcW w:w="3573" w:type="dxa"/>
            <w:vAlign w:val="center"/>
          </w:tcPr>
          <w:p>
            <w:pPr>
              <w:widowControl/>
              <w:jc w:val="left"/>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戏剧影视美术设计(舞台技术)</w:t>
            </w:r>
          </w:p>
        </w:tc>
        <w:tc>
          <w:tcPr>
            <w:tcW w:w="712" w:type="dxa"/>
            <w:vAlign w:val="center"/>
          </w:tcPr>
          <w:p>
            <w:pPr>
              <w:widowControl/>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16</w:t>
            </w:r>
          </w:p>
        </w:tc>
        <w:tc>
          <w:tcPr>
            <w:tcW w:w="927" w:type="dxa"/>
            <w:vAlign w:val="center"/>
          </w:tcPr>
          <w:p>
            <w:pPr>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3.70 </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54" w:hRule="atLeast"/>
          <w:jc w:val="center"/>
        </w:trPr>
        <w:tc>
          <w:tcPr>
            <w:tcW w:w="1207" w:type="dxa"/>
            <w:vMerge w:val="continue"/>
            <w:shd w:val="clear" w:color="auto" w:fill="auto"/>
            <w:vAlign w:val="center"/>
          </w:tcPr>
          <w:p>
            <w:pPr>
              <w:jc w:val="center"/>
              <w:rPr>
                <w:rFonts w:hint="eastAsia" w:asciiTheme="minorEastAsia" w:hAnsiTheme="minorEastAsia" w:eastAsiaTheme="minorEastAsia" w:cstheme="minorEastAsia"/>
                <w:b/>
                <w:bCs/>
                <w:color w:val="000000"/>
                <w:kern w:val="0"/>
                <w:szCs w:val="21"/>
              </w:rPr>
            </w:pPr>
          </w:p>
        </w:tc>
        <w:tc>
          <w:tcPr>
            <w:tcW w:w="3573" w:type="dxa"/>
            <w:shd w:val="clear" w:color="auto" w:fill="DAEEF3" w:themeFill="accent5" w:themeFillTint="33"/>
            <w:vAlign w:val="center"/>
          </w:tcPr>
          <w:p>
            <w:pPr>
              <w:widowControl/>
              <w:jc w:val="left"/>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戏剧影视美术设计(舞台设计)</w:t>
            </w:r>
          </w:p>
        </w:tc>
        <w:tc>
          <w:tcPr>
            <w:tcW w:w="712" w:type="dxa"/>
            <w:shd w:val="clear" w:color="auto" w:fill="DAEEF3" w:themeFill="accent5" w:themeFillTint="33"/>
            <w:vAlign w:val="center"/>
          </w:tcPr>
          <w:p>
            <w:pPr>
              <w:widowControl/>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w:t>
            </w:r>
          </w:p>
        </w:tc>
        <w:tc>
          <w:tcPr>
            <w:tcW w:w="927" w:type="dxa"/>
            <w:shd w:val="clear" w:color="auto" w:fill="DAEEF3" w:themeFill="accent5" w:themeFillTint="33"/>
            <w:vAlign w:val="center"/>
          </w:tcPr>
          <w:p>
            <w:pPr>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0.23 </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54" w:hRule="atLeast"/>
          <w:jc w:val="center"/>
        </w:trPr>
        <w:tc>
          <w:tcPr>
            <w:tcW w:w="1207" w:type="dxa"/>
            <w:vMerge w:val="continue"/>
            <w:shd w:val="clear" w:color="auto" w:fill="auto"/>
            <w:vAlign w:val="center"/>
          </w:tcPr>
          <w:p>
            <w:pPr>
              <w:jc w:val="center"/>
              <w:rPr>
                <w:rFonts w:hint="eastAsia" w:asciiTheme="minorEastAsia" w:hAnsiTheme="minorEastAsia" w:eastAsiaTheme="minorEastAsia" w:cstheme="minorEastAsia"/>
                <w:b/>
                <w:bCs/>
                <w:color w:val="000000"/>
                <w:kern w:val="0"/>
                <w:szCs w:val="21"/>
              </w:rPr>
            </w:pPr>
          </w:p>
        </w:tc>
        <w:tc>
          <w:tcPr>
            <w:tcW w:w="3573" w:type="dxa"/>
            <w:vAlign w:val="center"/>
          </w:tcPr>
          <w:p>
            <w:pPr>
              <w:widowControl/>
              <w:jc w:val="left"/>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导演（影视编导）</w:t>
            </w:r>
          </w:p>
        </w:tc>
        <w:tc>
          <w:tcPr>
            <w:tcW w:w="712" w:type="dxa"/>
            <w:vAlign w:val="center"/>
          </w:tcPr>
          <w:p>
            <w:pPr>
              <w:widowControl/>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29</w:t>
            </w:r>
          </w:p>
        </w:tc>
        <w:tc>
          <w:tcPr>
            <w:tcW w:w="927" w:type="dxa"/>
            <w:vAlign w:val="center"/>
          </w:tcPr>
          <w:p>
            <w:pPr>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6.70 </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54" w:hRule="atLeast"/>
          <w:jc w:val="center"/>
        </w:trPr>
        <w:tc>
          <w:tcPr>
            <w:tcW w:w="1207" w:type="dxa"/>
            <w:vMerge w:val="continue"/>
            <w:shd w:val="clear" w:color="auto" w:fill="auto"/>
            <w:vAlign w:val="center"/>
          </w:tcPr>
          <w:p>
            <w:pPr>
              <w:jc w:val="center"/>
              <w:rPr>
                <w:rFonts w:hint="eastAsia" w:asciiTheme="minorEastAsia" w:hAnsiTheme="minorEastAsia" w:eastAsiaTheme="minorEastAsia" w:cstheme="minorEastAsia"/>
                <w:b/>
                <w:bCs/>
                <w:color w:val="000000"/>
                <w:kern w:val="0"/>
                <w:szCs w:val="21"/>
              </w:rPr>
            </w:pPr>
          </w:p>
        </w:tc>
        <w:tc>
          <w:tcPr>
            <w:tcW w:w="3573" w:type="dxa"/>
            <w:shd w:val="clear" w:color="auto" w:fill="DAEEF3" w:themeFill="accent5" w:themeFillTint="33"/>
            <w:vAlign w:val="center"/>
          </w:tcPr>
          <w:p>
            <w:pPr>
              <w:widowControl/>
              <w:jc w:val="left"/>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导演（影视制片）</w:t>
            </w:r>
          </w:p>
        </w:tc>
        <w:tc>
          <w:tcPr>
            <w:tcW w:w="712" w:type="dxa"/>
            <w:shd w:val="clear" w:color="auto" w:fill="DAEEF3" w:themeFill="accent5" w:themeFillTint="33"/>
            <w:vAlign w:val="center"/>
          </w:tcPr>
          <w:p>
            <w:pPr>
              <w:widowControl/>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39</w:t>
            </w:r>
          </w:p>
        </w:tc>
        <w:tc>
          <w:tcPr>
            <w:tcW w:w="927" w:type="dxa"/>
            <w:shd w:val="clear" w:color="auto" w:fill="DAEEF3" w:themeFill="accent5" w:themeFillTint="33"/>
            <w:vAlign w:val="center"/>
          </w:tcPr>
          <w:p>
            <w:pPr>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9.01 </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54" w:hRule="atLeast"/>
          <w:jc w:val="center"/>
        </w:trPr>
        <w:tc>
          <w:tcPr>
            <w:tcW w:w="1207" w:type="dxa"/>
            <w:vMerge w:val="continue"/>
            <w:shd w:val="clear" w:color="auto" w:fill="auto"/>
            <w:vAlign w:val="center"/>
          </w:tcPr>
          <w:p>
            <w:pPr>
              <w:jc w:val="center"/>
              <w:rPr>
                <w:rFonts w:hint="eastAsia" w:asciiTheme="minorEastAsia" w:hAnsiTheme="minorEastAsia" w:eastAsiaTheme="minorEastAsia" w:cstheme="minorEastAsia"/>
                <w:b/>
                <w:bCs/>
                <w:color w:val="000000"/>
                <w:kern w:val="0"/>
                <w:szCs w:val="21"/>
              </w:rPr>
            </w:pPr>
          </w:p>
        </w:tc>
        <w:tc>
          <w:tcPr>
            <w:tcW w:w="3573" w:type="dxa"/>
            <w:vAlign w:val="center"/>
          </w:tcPr>
          <w:p>
            <w:pPr>
              <w:widowControl/>
              <w:jc w:val="left"/>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导演（</w:t>
            </w:r>
            <w:r>
              <w:rPr>
                <w:rFonts w:hint="eastAsia" w:asciiTheme="minorEastAsia" w:hAnsiTheme="minorEastAsia" w:eastAsiaTheme="minorEastAsia" w:cstheme="minorEastAsia"/>
                <w:color w:val="000000"/>
                <w:kern w:val="0"/>
                <w:szCs w:val="21"/>
                <w:lang w:val="en-US" w:eastAsia="zh-CN"/>
              </w:rPr>
              <w:t>演出制作</w:t>
            </w:r>
            <w:r>
              <w:rPr>
                <w:rFonts w:hint="eastAsia" w:asciiTheme="minorEastAsia" w:hAnsiTheme="minorEastAsia" w:eastAsiaTheme="minorEastAsia" w:cstheme="minorEastAsia"/>
                <w:color w:val="000000"/>
                <w:kern w:val="0"/>
                <w:szCs w:val="21"/>
              </w:rPr>
              <w:t>）</w:t>
            </w:r>
          </w:p>
        </w:tc>
        <w:tc>
          <w:tcPr>
            <w:tcW w:w="712" w:type="dxa"/>
            <w:vAlign w:val="center"/>
          </w:tcPr>
          <w:p>
            <w:pPr>
              <w:widowControl/>
              <w:jc w:val="center"/>
              <w:rPr>
                <w:rFonts w:hint="eastAsia" w:asciiTheme="minorEastAsia" w:hAnsiTheme="minorEastAsia" w:eastAsiaTheme="minorEastAsia" w:cstheme="minorEastAsia"/>
                <w:color w:val="000000"/>
                <w:kern w:val="0"/>
                <w:szCs w:val="21"/>
                <w:lang w:val="en-US" w:eastAsia="zh-CN"/>
              </w:rPr>
            </w:pPr>
            <w:r>
              <w:rPr>
                <w:rFonts w:hint="eastAsia" w:asciiTheme="minorEastAsia" w:hAnsiTheme="minorEastAsia" w:eastAsiaTheme="minorEastAsia" w:cstheme="minorEastAsia"/>
                <w:color w:val="000000"/>
                <w:kern w:val="0"/>
                <w:szCs w:val="21"/>
                <w:lang w:val="en-US" w:eastAsia="zh-CN"/>
              </w:rPr>
              <w:t>39</w:t>
            </w:r>
          </w:p>
        </w:tc>
        <w:tc>
          <w:tcPr>
            <w:tcW w:w="927" w:type="dxa"/>
            <w:vAlign w:val="center"/>
          </w:tcPr>
          <w:p>
            <w:pPr>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val="en-US" w:eastAsia="zh-CN"/>
              </w:rPr>
              <w:t>9301</w:t>
            </w:r>
            <w:r>
              <w:rPr>
                <w:rFonts w:hint="eastAsia" w:asciiTheme="minorEastAsia" w:hAnsiTheme="minorEastAsia" w:eastAsiaTheme="minorEastAsia" w:cstheme="minorEastAsia"/>
                <w:bCs/>
                <w:szCs w:val="21"/>
              </w:rPr>
              <w:t xml:space="preserve"> </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54" w:hRule="atLeast"/>
          <w:jc w:val="center"/>
        </w:trPr>
        <w:tc>
          <w:tcPr>
            <w:tcW w:w="1207" w:type="dxa"/>
            <w:vMerge w:val="restart"/>
            <w:shd w:val="clear" w:color="auto" w:fill="auto"/>
            <w:vAlign w:val="center"/>
          </w:tcPr>
          <w:p>
            <w:pPr>
              <w:jc w:val="center"/>
              <w:rPr>
                <w:rFonts w:hint="eastAsia" w:asciiTheme="minorEastAsia" w:hAnsiTheme="minorEastAsia" w:eastAsiaTheme="minorEastAsia" w:cstheme="minorEastAsia"/>
                <w:b/>
                <w:bCs/>
                <w:color w:val="000000"/>
                <w:kern w:val="0"/>
                <w:szCs w:val="21"/>
              </w:rPr>
            </w:pPr>
            <w:r>
              <w:rPr>
                <w:rFonts w:hint="eastAsia" w:asciiTheme="minorEastAsia" w:hAnsiTheme="minorEastAsia" w:eastAsiaTheme="minorEastAsia" w:cstheme="minorEastAsia"/>
                <w:b/>
                <w:bCs/>
                <w:color w:val="000000"/>
                <w:kern w:val="0"/>
                <w:szCs w:val="21"/>
              </w:rPr>
              <w:t>研究生</w:t>
            </w:r>
          </w:p>
          <w:p>
            <w:pPr>
              <w:jc w:val="center"/>
              <w:rPr>
                <w:rFonts w:hint="eastAsia" w:asciiTheme="minorEastAsia" w:hAnsiTheme="minorEastAsia" w:eastAsiaTheme="minorEastAsia" w:cstheme="minorEastAsia"/>
                <w:b/>
                <w:bCs/>
                <w:color w:val="000000"/>
                <w:kern w:val="0"/>
                <w:szCs w:val="21"/>
              </w:rPr>
            </w:pPr>
            <w:r>
              <w:rPr>
                <w:rFonts w:hint="eastAsia" w:asciiTheme="minorEastAsia" w:hAnsiTheme="minorEastAsia" w:eastAsiaTheme="minorEastAsia" w:cstheme="minorEastAsia"/>
                <w:b/>
                <w:bCs/>
                <w:color w:val="000000"/>
                <w:kern w:val="0"/>
                <w:szCs w:val="21"/>
              </w:rPr>
              <w:t>（N=110）</w:t>
            </w:r>
          </w:p>
        </w:tc>
        <w:tc>
          <w:tcPr>
            <w:tcW w:w="3573" w:type="dxa"/>
            <w:shd w:val="clear" w:color="auto" w:fill="DAEEF3" w:themeFill="accent5" w:themeFillTint="33"/>
            <w:vAlign w:val="center"/>
          </w:tcPr>
          <w:p>
            <w:pPr>
              <w:widowControl/>
              <w:jc w:val="left"/>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戏剧</w:t>
            </w:r>
          </w:p>
        </w:tc>
        <w:tc>
          <w:tcPr>
            <w:tcW w:w="712" w:type="dxa"/>
            <w:shd w:val="clear" w:color="auto" w:fill="DAEEF3" w:themeFill="accent5" w:themeFillTint="33"/>
            <w:vAlign w:val="center"/>
          </w:tcPr>
          <w:p>
            <w:pPr>
              <w:widowControl/>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36</w:t>
            </w:r>
          </w:p>
        </w:tc>
        <w:tc>
          <w:tcPr>
            <w:tcW w:w="927" w:type="dxa"/>
            <w:shd w:val="clear" w:color="auto" w:fill="DAEEF3" w:themeFill="accent5" w:themeFillTint="33"/>
            <w:vAlign w:val="center"/>
          </w:tcPr>
          <w:p>
            <w:pPr>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8.31 </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54" w:hRule="atLeast"/>
          <w:jc w:val="center"/>
        </w:trPr>
        <w:tc>
          <w:tcPr>
            <w:tcW w:w="1207" w:type="dxa"/>
            <w:vMerge w:val="continue"/>
            <w:shd w:val="clear" w:color="auto" w:fill="auto"/>
            <w:vAlign w:val="center"/>
          </w:tcPr>
          <w:p>
            <w:pPr>
              <w:jc w:val="center"/>
              <w:rPr>
                <w:rFonts w:hint="eastAsia" w:asciiTheme="minorEastAsia" w:hAnsiTheme="minorEastAsia" w:eastAsiaTheme="minorEastAsia" w:cstheme="minorEastAsia"/>
                <w:b/>
                <w:bCs/>
                <w:color w:val="000000"/>
                <w:kern w:val="0"/>
                <w:szCs w:val="21"/>
              </w:rPr>
            </w:pPr>
          </w:p>
        </w:tc>
        <w:tc>
          <w:tcPr>
            <w:tcW w:w="3573" w:type="dxa"/>
            <w:vAlign w:val="center"/>
          </w:tcPr>
          <w:p>
            <w:pPr>
              <w:widowControl/>
              <w:jc w:val="left"/>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戏剧与影视学</w:t>
            </w:r>
          </w:p>
        </w:tc>
        <w:tc>
          <w:tcPr>
            <w:tcW w:w="712" w:type="dxa"/>
            <w:vAlign w:val="center"/>
          </w:tcPr>
          <w:p>
            <w:pPr>
              <w:widowControl/>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43</w:t>
            </w:r>
          </w:p>
        </w:tc>
        <w:tc>
          <w:tcPr>
            <w:tcW w:w="927" w:type="dxa"/>
            <w:vAlign w:val="center"/>
          </w:tcPr>
          <w:p>
            <w:pPr>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9.93 </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54" w:hRule="atLeast"/>
          <w:jc w:val="center"/>
        </w:trPr>
        <w:tc>
          <w:tcPr>
            <w:tcW w:w="1207" w:type="dxa"/>
            <w:vMerge w:val="continue"/>
            <w:shd w:val="clear" w:color="auto" w:fill="auto"/>
            <w:vAlign w:val="center"/>
          </w:tcPr>
          <w:p>
            <w:pPr>
              <w:jc w:val="center"/>
              <w:rPr>
                <w:rFonts w:hint="eastAsia" w:asciiTheme="minorEastAsia" w:hAnsiTheme="minorEastAsia" w:eastAsiaTheme="minorEastAsia" w:cstheme="minorEastAsia"/>
                <w:b/>
                <w:bCs/>
                <w:color w:val="000000"/>
                <w:kern w:val="0"/>
                <w:szCs w:val="21"/>
              </w:rPr>
            </w:pPr>
          </w:p>
        </w:tc>
        <w:tc>
          <w:tcPr>
            <w:tcW w:w="3573" w:type="dxa"/>
            <w:shd w:val="clear" w:color="auto" w:fill="DAEEF3" w:themeFill="accent5" w:themeFillTint="33"/>
            <w:vAlign w:val="center"/>
          </w:tcPr>
          <w:p>
            <w:pPr>
              <w:widowControl/>
              <w:jc w:val="left"/>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艺术学理论</w:t>
            </w:r>
          </w:p>
        </w:tc>
        <w:tc>
          <w:tcPr>
            <w:tcW w:w="712" w:type="dxa"/>
            <w:shd w:val="clear" w:color="auto" w:fill="DAEEF3" w:themeFill="accent5" w:themeFillTint="33"/>
            <w:vAlign w:val="center"/>
          </w:tcPr>
          <w:p>
            <w:pPr>
              <w:widowControl/>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10</w:t>
            </w:r>
          </w:p>
        </w:tc>
        <w:tc>
          <w:tcPr>
            <w:tcW w:w="927" w:type="dxa"/>
            <w:shd w:val="clear" w:color="auto" w:fill="DAEEF3" w:themeFill="accent5" w:themeFillTint="33"/>
            <w:vAlign w:val="center"/>
          </w:tcPr>
          <w:p>
            <w:pPr>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2.31 </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54" w:hRule="atLeast"/>
          <w:jc w:val="center"/>
        </w:trPr>
        <w:tc>
          <w:tcPr>
            <w:tcW w:w="1207" w:type="dxa"/>
            <w:vMerge w:val="continue"/>
            <w:shd w:val="clear" w:color="auto" w:fill="auto"/>
            <w:vAlign w:val="center"/>
          </w:tcPr>
          <w:p>
            <w:pPr>
              <w:jc w:val="center"/>
              <w:rPr>
                <w:rFonts w:hint="eastAsia" w:asciiTheme="minorEastAsia" w:hAnsiTheme="minorEastAsia" w:eastAsiaTheme="minorEastAsia" w:cstheme="minorEastAsia"/>
                <w:b/>
                <w:bCs/>
                <w:color w:val="000000"/>
                <w:kern w:val="0"/>
                <w:szCs w:val="21"/>
              </w:rPr>
            </w:pPr>
          </w:p>
        </w:tc>
        <w:tc>
          <w:tcPr>
            <w:tcW w:w="3573" w:type="dxa"/>
            <w:vAlign w:val="center"/>
          </w:tcPr>
          <w:p>
            <w:pPr>
              <w:widowControl/>
              <w:jc w:val="left"/>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戏剧与影视学</w:t>
            </w:r>
          </w:p>
        </w:tc>
        <w:tc>
          <w:tcPr>
            <w:tcW w:w="712" w:type="dxa"/>
            <w:vAlign w:val="center"/>
          </w:tcPr>
          <w:p>
            <w:pPr>
              <w:widowControl/>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15</w:t>
            </w:r>
          </w:p>
        </w:tc>
        <w:tc>
          <w:tcPr>
            <w:tcW w:w="927" w:type="dxa"/>
            <w:vAlign w:val="center"/>
          </w:tcPr>
          <w:p>
            <w:pPr>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3.46 </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54" w:hRule="atLeast"/>
          <w:jc w:val="center"/>
        </w:trPr>
        <w:tc>
          <w:tcPr>
            <w:tcW w:w="1207" w:type="dxa"/>
            <w:vMerge w:val="continue"/>
            <w:shd w:val="clear" w:color="auto" w:fill="auto"/>
            <w:vAlign w:val="center"/>
          </w:tcPr>
          <w:p>
            <w:pPr>
              <w:jc w:val="center"/>
              <w:rPr>
                <w:rFonts w:hint="eastAsia" w:asciiTheme="minorEastAsia" w:hAnsiTheme="minorEastAsia" w:eastAsiaTheme="minorEastAsia" w:cstheme="minorEastAsia"/>
                <w:b/>
                <w:bCs/>
                <w:color w:val="000000"/>
                <w:kern w:val="0"/>
                <w:szCs w:val="21"/>
              </w:rPr>
            </w:pPr>
          </w:p>
        </w:tc>
        <w:tc>
          <w:tcPr>
            <w:tcW w:w="3573" w:type="dxa"/>
            <w:shd w:val="clear" w:color="auto" w:fill="DAEEF3" w:themeFill="accent5" w:themeFillTint="33"/>
            <w:vAlign w:val="center"/>
          </w:tcPr>
          <w:p>
            <w:pPr>
              <w:widowControl/>
              <w:jc w:val="left"/>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艺术学理论</w:t>
            </w:r>
          </w:p>
        </w:tc>
        <w:tc>
          <w:tcPr>
            <w:tcW w:w="712" w:type="dxa"/>
            <w:shd w:val="clear" w:color="auto" w:fill="DAEEF3" w:themeFill="accent5" w:themeFillTint="33"/>
            <w:vAlign w:val="center"/>
          </w:tcPr>
          <w:p>
            <w:pPr>
              <w:widowControl/>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6</w:t>
            </w:r>
          </w:p>
        </w:tc>
        <w:tc>
          <w:tcPr>
            <w:tcW w:w="927" w:type="dxa"/>
            <w:shd w:val="clear" w:color="auto" w:fill="DAEEF3" w:themeFill="accent5" w:themeFillTint="33"/>
            <w:vAlign w:val="center"/>
          </w:tcPr>
          <w:p>
            <w:pPr>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1.39 </w:t>
            </w:r>
          </w:p>
        </w:tc>
      </w:tr>
    </w:tbl>
    <w:p/>
    <w:p/>
    <w:p>
      <w:pPr>
        <w:pStyle w:val="47"/>
        <w:spacing w:before="312" w:after="156"/>
      </w:pPr>
      <w:bookmarkStart w:id="28" w:name="_Toc485713519"/>
      <w:r>
        <w:rPr>
          <w:rFonts w:hint="eastAsia"/>
        </w:rPr>
        <w:t>二、毕业去向</w:t>
      </w:r>
      <w:bookmarkEnd w:id="21"/>
      <w:r>
        <w:rPr>
          <w:rFonts w:hint="eastAsia"/>
        </w:rPr>
        <w:t>情况</w:t>
      </w:r>
      <w:bookmarkEnd w:id="28"/>
    </w:p>
    <w:p>
      <w:pPr>
        <w:pStyle w:val="123"/>
        <w:ind w:firstLine="480"/>
      </w:pPr>
      <w:r>
        <w:rPr>
          <w:rFonts w:hint="eastAsia"/>
        </w:rPr>
        <w:t>根据本校2017届毕业生就业信息库，毕业生去向包括</w:t>
      </w:r>
      <w:bookmarkStart w:id="29" w:name="PO_22A"/>
      <w:bookmarkEnd w:id="29"/>
      <w:r>
        <w:rPr>
          <w:rFonts w:hint="eastAsia"/>
        </w:rPr>
        <w:t>“签署三方协议”“签订劳动合同”“单位开具用人证明”“自由职业”“自主创业”“国内升学”“出国（境）留学”“拟升学不就业”“拟出国不就业”9类。其中，除</w:t>
      </w:r>
      <w:bookmarkStart w:id="30" w:name="PO_22B"/>
      <w:bookmarkEnd w:id="30"/>
      <w:r>
        <w:rPr>
          <w:rFonts w:hint="eastAsia"/>
        </w:rPr>
        <w:t>“拟升学不就业”“拟出国不就业”外，其余</w:t>
      </w:r>
      <w:bookmarkStart w:id="31" w:name="PO_22C"/>
      <w:bookmarkEnd w:id="31"/>
      <w:r>
        <w:t>7</w:t>
      </w:r>
      <w:r>
        <w:rPr>
          <w:rFonts w:hint="eastAsia"/>
        </w:rPr>
        <w:t>类为就业。</w:t>
      </w:r>
    </w:p>
    <w:p>
      <w:pPr>
        <w:pStyle w:val="49"/>
        <w:spacing w:before="156" w:after="156"/>
        <w:ind w:left="120"/>
      </w:pPr>
      <w:bookmarkStart w:id="32" w:name="_Toc485713520"/>
      <w:r>
        <w:rPr>
          <w:rFonts w:hint="eastAsia"/>
        </w:rPr>
        <w:t>（一）就业率</w:t>
      </w:r>
      <w:bookmarkEnd w:id="32"/>
    </w:p>
    <w:p>
      <w:pPr>
        <w:pStyle w:val="67"/>
        <w:spacing w:before="156" w:after="156"/>
        <w:ind w:left="240"/>
      </w:pPr>
      <w:r>
        <w:rPr>
          <w:rFonts w:hint="eastAsia"/>
        </w:rPr>
        <w:t>1.总体情况</w:t>
      </w:r>
    </w:p>
    <w:p>
      <w:pPr>
        <w:pStyle w:val="123"/>
        <w:ind w:firstLine="480"/>
      </w:pPr>
      <w:r>
        <w:rPr>
          <w:rFonts w:hint="eastAsia"/>
        </w:rPr>
        <w:t>截至2017年10月31日，本校2017届毕业生就业率为</w:t>
      </w:r>
      <w:bookmarkStart w:id="33" w:name="PO_2211A"/>
      <w:bookmarkEnd w:id="33"/>
      <w:r>
        <w:rPr>
          <w:rFonts w:hint="eastAsia"/>
        </w:rPr>
        <w:t>97.93%。其中，毕业后就业比例为86.61%，国内升学比例为9.01%，出国（境）留学比例为2.31%。</w:t>
      </w:r>
    </w:p>
    <w:p>
      <w:pPr>
        <w:pStyle w:val="55"/>
        <w:adjustRightInd/>
        <w:snapToGrid/>
        <w:spacing w:before="312" w:after="156"/>
        <w:ind w:left="420" w:hanging="420"/>
      </w:pPr>
      <w:bookmarkStart w:id="34" w:name="PO_2211B"/>
      <w:bookmarkEnd w:id="34"/>
      <w:r>
        <w:rPr>
          <w:rFonts w:hint="eastAsia"/>
        </w:rPr>
        <w:t>全体毕业生毕业去向</w:t>
      </w:r>
    </w:p>
    <w:tbl>
      <w:tblPr>
        <w:tblStyle w:val="144"/>
        <w:tblW w:w="4529" w:type="dxa"/>
        <w:jc w:val="center"/>
        <w:tblInd w:w="0"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939"/>
        <w:gridCol w:w="2136"/>
        <w:gridCol w:w="698"/>
        <w:gridCol w:w="756"/>
      </w:tblGrid>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5" w:hRule="atLeast"/>
          <w:jc w:val="center"/>
        </w:trPr>
        <w:tc>
          <w:tcPr>
            <w:tcW w:w="939" w:type="dxa"/>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4BACC6" w:themeFill="accent5"/>
          </w:tcPr>
          <w:p>
            <w:pPr>
              <w:ind w:firstLine="480"/>
              <w:rPr>
                <w:rFonts w:ascii="Times New Roman" w:hAnsi="Times New Roman" w:eastAsia="宋体"/>
                <w:b/>
                <w:bCs/>
                <w:color w:val="FFFFFF" w:themeColor="background1"/>
                <w:kern w:val="0"/>
              </w:rPr>
            </w:pPr>
          </w:p>
        </w:tc>
        <w:tc>
          <w:tcPr>
            <w:tcW w:w="2136" w:type="dxa"/>
            <w:tcBorders>
              <w:top w:val="single" w:color="4BACC6" w:themeColor="accent5" w:sz="4" w:space="0"/>
              <w:bottom w:val="single" w:color="4BACC6" w:themeColor="accent5" w:sz="4" w:space="0"/>
              <w:right w:val="nil"/>
              <w:insideH w:val="single" w:sz="4" w:space="0"/>
              <w:insideV w:val="nil"/>
            </w:tcBorders>
            <w:shd w:val="clear" w:color="auto" w:fill="4BACC6" w:themeFill="accent5"/>
          </w:tcPr>
          <w:p>
            <w:pPr>
              <w:rPr>
                <w:rFonts w:ascii="Times New Roman" w:hAnsi="Times New Roman" w:eastAsia="宋体"/>
                <w:b/>
                <w:bCs/>
                <w:color w:val="FFFFFF" w:themeColor="background1"/>
                <w:kern w:val="0"/>
              </w:rPr>
            </w:pPr>
          </w:p>
        </w:tc>
        <w:tc>
          <w:tcPr>
            <w:tcW w:w="698" w:type="dxa"/>
            <w:tcBorders>
              <w:top w:val="single" w:color="4BACC6" w:themeColor="accent5" w:sz="4" w:space="0"/>
              <w:bottom w:val="single" w:color="4BACC6" w:themeColor="accent5" w:sz="4" w:space="0"/>
              <w:right w:val="nil"/>
              <w:insideH w:val="single" w:sz="4" w:space="0"/>
              <w:insideV w:val="nil"/>
            </w:tcBorders>
            <w:shd w:val="clear" w:color="auto" w:fill="4BACC6" w:themeFill="accent5"/>
          </w:tcPr>
          <w:p>
            <w:pPr>
              <w:jc w:val="center"/>
              <w:rPr>
                <w:rFonts w:ascii="Times New Roman" w:hAnsi="Times New Roman" w:eastAsia="宋体"/>
                <w:b/>
                <w:bCs/>
                <w:color w:val="FFFFFF" w:themeColor="background1"/>
                <w:kern w:val="0"/>
              </w:rPr>
            </w:pPr>
            <w:r>
              <w:rPr>
                <w:rFonts w:hint="eastAsia" w:ascii="Times New Roman" w:hAnsi="Times New Roman" w:eastAsia="宋体"/>
                <w:b/>
                <w:bCs/>
                <w:color w:val="FFFFFF" w:themeColor="background1"/>
                <w:kern w:val="0"/>
              </w:rPr>
              <w:t>人数</w:t>
            </w:r>
          </w:p>
        </w:tc>
        <w:tc>
          <w:tcPr>
            <w:tcW w:w="756" w:type="dxa"/>
            <w:tcBorders>
              <w:top w:val="single" w:color="4BACC6" w:themeColor="accent5" w:sz="4" w:space="0"/>
              <w:bottom w:val="single" w:color="4BACC6" w:themeColor="accent5" w:sz="4" w:space="0"/>
              <w:right w:val="single" w:color="4BACC6" w:themeColor="accent5" w:sz="4" w:space="0"/>
              <w:insideH w:val="single" w:sz="4" w:space="0"/>
              <w:insideV w:val="nil"/>
            </w:tcBorders>
            <w:shd w:val="clear" w:color="auto" w:fill="4BACC6" w:themeFill="accent5"/>
          </w:tcPr>
          <w:p>
            <w:pPr>
              <w:jc w:val="center"/>
              <w:rPr>
                <w:rFonts w:ascii="Times New Roman" w:hAnsi="Times New Roman" w:eastAsia="宋体"/>
                <w:b/>
                <w:bCs/>
                <w:color w:val="FFFFFF" w:themeColor="background1"/>
                <w:kern w:val="0"/>
              </w:rPr>
            </w:pPr>
            <w:r>
              <w:rPr>
                <w:rFonts w:hint="eastAsia" w:ascii="Times New Roman" w:hAnsi="Times New Roman" w:eastAsia="宋体"/>
                <w:b/>
                <w:bCs/>
                <w:color w:val="FFFFFF" w:themeColor="background1"/>
                <w:kern w:val="0"/>
              </w:rPr>
              <w:t>%</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939" w:type="dxa"/>
            <w:vMerge w:val="restart"/>
            <w:shd w:val="clear" w:color="auto" w:fill="FFFFFF" w:themeFill="background1"/>
            <w:vAlign w:val="center"/>
          </w:tcPr>
          <w:p>
            <w:pPr>
              <w:jc w:val="center"/>
              <w:rPr>
                <w:rFonts w:ascii="Times New Roman" w:hAnsi="Times New Roman" w:eastAsia="宋体"/>
                <w:b/>
                <w:bCs/>
                <w:kern w:val="0"/>
              </w:rPr>
            </w:pPr>
            <w:r>
              <w:rPr>
                <w:rFonts w:hint="eastAsia" w:ascii="Times New Roman" w:hAnsi="Times New Roman" w:eastAsia="宋体"/>
                <w:b/>
                <w:bCs/>
                <w:kern w:val="0"/>
              </w:rPr>
              <w:t>就业</w:t>
            </w:r>
          </w:p>
        </w:tc>
        <w:tc>
          <w:tcPr>
            <w:tcW w:w="2136"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签署三方协议</w:t>
            </w:r>
          </w:p>
        </w:tc>
        <w:tc>
          <w:tcPr>
            <w:tcW w:w="698" w:type="dxa"/>
            <w:shd w:val="clear" w:color="auto" w:fill="DAEEF3" w:themeFill="accent5" w:themeFillTint="33"/>
          </w:tcPr>
          <w:p>
            <w:pPr>
              <w:jc w:val="center"/>
              <w:rPr>
                <w:rFonts w:ascii="Times New Roman" w:hAnsi="Times New Roman" w:eastAsia="宋体"/>
                <w:kern w:val="0"/>
              </w:rPr>
            </w:pPr>
            <w:r>
              <w:rPr>
                <w:rFonts w:ascii="Times New Roman" w:hAnsi="Times New Roman" w:eastAsia="宋体"/>
                <w:kern w:val="0"/>
              </w:rPr>
              <w:t>74</w:t>
            </w:r>
          </w:p>
        </w:tc>
        <w:tc>
          <w:tcPr>
            <w:tcW w:w="756" w:type="dxa"/>
            <w:shd w:val="clear" w:color="auto" w:fill="DAEEF3" w:themeFill="accent5" w:themeFillTint="33"/>
          </w:tcPr>
          <w:p>
            <w:pPr>
              <w:jc w:val="center"/>
              <w:rPr>
                <w:rFonts w:ascii="Times New Roman" w:hAnsi="Times New Roman" w:eastAsia="宋体"/>
                <w:kern w:val="0"/>
              </w:rPr>
            </w:pPr>
            <w:r>
              <w:rPr>
                <w:rFonts w:ascii="Times New Roman" w:hAnsi="Times New Roman" w:eastAsia="宋体"/>
                <w:kern w:val="0"/>
              </w:rPr>
              <w:t>17.09</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tcPr>
          <w:p>
            <w:pPr>
              <w:rPr>
                <w:rFonts w:ascii="Times New Roman" w:hAnsi="Times New Roman" w:eastAsia="宋体"/>
                <w:kern w:val="0"/>
              </w:rPr>
            </w:pPr>
            <w:r>
              <w:rPr>
                <w:rFonts w:hint="eastAsia" w:ascii="Times New Roman" w:hAnsi="Times New Roman" w:eastAsia="宋体"/>
                <w:kern w:val="0"/>
              </w:rPr>
              <w:t>签订劳动合同</w:t>
            </w:r>
          </w:p>
        </w:tc>
        <w:tc>
          <w:tcPr>
            <w:tcW w:w="698" w:type="dxa"/>
          </w:tcPr>
          <w:p>
            <w:pPr>
              <w:jc w:val="center"/>
              <w:rPr>
                <w:rFonts w:ascii="Times New Roman" w:hAnsi="Times New Roman" w:eastAsia="宋体"/>
                <w:kern w:val="0"/>
              </w:rPr>
            </w:pPr>
            <w:r>
              <w:rPr>
                <w:rFonts w:ascii="Times New Roman" w:hAnsi="Times New Roman" w:eastAsia="宋体"/>
                <w:kern w:val="0"/>
              </w:rPr>
              <w:t>62</w:t>
            </w:r>
          </w:p>
        </w:tc>
        <w:tc>
          <w:tcPr>
            <w:tcW w:w="756" w:type="dxa"/>
          </w:tcPr>
          <w:p>
            <w:pPr>
              <w:jc w:val="center"/>
              <w:rPr>
                <w:rFonts w:ascii="Times New Roman" w:hAnsi="Times New Roman" w:eastAsia="宋体"/>
                <w:kern w:val="0"/>
              </w:rPr>
            </w:pPr>
            <w:r>
              <w:rPr>
                <w:rFonts w:ascii="Times New Roman" w:hAnsi="Times New Roman" w:eastAsia="宋体"/>
                <w:kern w:val="0"/>
              </w:rPr>
              <w:t>14.32</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单位开具用人证明</w:t>
            </w:r>
          </w:p>
        </w:tc>
        <w:tc>
          <w:tcPr>
            <w:tcW w:w="698" w:type="dxa"/>
            <w:shd w:val="clear" w:color="auto" w:fill="DAEEF3" w:themeFill="accent5" w:themeFillTint="33"/>
          </w:tcPr>
          <w:p>
            <w:pPr>
              <w:jc w:val="center"/>
              <w:rPr>
                <w:rFonts w:ascii="Times New Roman" w:hAnsi="Times New Roman" w:eastAsia="宋体"/>
                <w:kern w:val="0"/>
              </w:rPr>
            </w:pPr>
            <w:r>
              <w:rPr>
                <w:rFonts w:ascii="Times New Roman" w:hAnsi="Times New Roman" w:eastAsia="宋体"/>
                <w:kern w:val="0"/>
              </w:rPr>
              <w:t>30</w:t>
            </w:r>
          </w:p>
        </w:tc>
        <w:tc>
          <w:tcPr>
            <w:tcW w:w="756" w:type="dxa"/>
            <w:shd w:val="clear" w:color="auto" w:fill="DAEEF3" w:themeFill="accent5" w:themeFillTint="33"/>
          </w:tcPr>
          <w:p>
            <w:pPr>
              <w:jc w:val="center"/>
              <w:rPr>
                <w:rFonts w:ascii="Times New Roman" w:hAnsi="Times New Roman" w:eastAsia="宋体"/>
                <w:kern w:val="0"/>
              </w:rPr>
            </w:pPr>
            <w:r>
              <w:rPr>
                <w:rFonts w:ascii="Times New Roman" w:hAnsi="Times New Roman" w:eastAsia="宋体"/>
                <w:kern w:val="0"/>
              </w:rPr>
              <w:t>6.93</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tcPr>
          <w:p>
            <w:pPr>
              <w:rPr>
                <w:rFonts w:ascii="Times New Roman" w:hAnsi="Times New Roman" w:eastAsia="宋体"/>
                <w:kern w:val="0"/>
              </w:rPr>
            </w:pPr>
            <w:r>
              <w:rPr>
                <w:rFonts w:hint="eastAsia" w:ascii="Times New Roman" w:hAnsi="Times New Roman" w:eastAsia="宋体"/>
                <w:kern w:val="0"/>
              </w:rPr>
              <w:t>自由职业</w:t>
            </w:r>
          </w:p>
        </w:tc>
        <w:tc>
          <w:tcPr>
            <w:tcW w:w="698" w:type="dxa"/>
          </w:tcPr>
          <w:p>
            <w:pPr>
              <w:jc w:val="center"/>
              <w:rPr>
                <w:rFonts w:ascii="Times New Roman" w:hAnsi="Times New Roman" w:eastAsia="宋体"/>
                <w:kern w:val="0"/>
              </w:rPr>
            </w:pPr>
            <w:r>
              <w:rPr>
                <w:rFonts w:ascii="Times New Roman" w:hAnsi="Times New Roman" w:eastAsia="宋体"/>
                <w:kern w:val="0"/>
              </w:rPr>
              <w:t>196</w:t>
            </w:r>
          </w:p>
        </w:tc>
        <w:tc>
          <w:tcPr>
            <w:tcW w:w="756" w:type="dxa"/>
          </w:tcPr>
          <w:p>
            <w:pPr>
              <w:jc w:val="center"/>
              <w:rPr>
                <w:rFonts w:ascii="Times New Roman" w:hAnsi="Times New Roman" w:eastAsia="宋体"/>
                <w:kern w:val="0"/>
              </w:rPr>
            </w:pPr>
            <w:r>
              <w:rPr>
                <w:rFonts w:ascii="Times New Roman" w:hAnsi="Times New Roman" w:eastAsia="宋体"/>
                <w:kern w:val="0"/>
              </w:rPr>
              <w:t>45.27</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自主创业</w:t>
            </w:r>
          </w:p>
        </w:tc>
        <w:tc>
          <w:tcPr>
            <w:tcW w:w="698" w:type="dxa"/>
            <w:shd w:val="clear" w:color="auto" w:fill="DAEEF3" w:themeFill="accent5" w:themeFillTint="33"/>
          </w:tcPr>
          <w:p>
            <w:pPr>
              <w:jc w:val="center"/>
              <w:rPr>
                <w:rFonts w:ascii="Times New Roman" w:hAnsi="Times New Roman" w:eastAsia="宋体"/>
                <w:kern w:val="0"/>
              </w:rPr>
            </w:pPr>
            <w:r>
              <w:rPr>
                <w:rFonts w:ascii="Times New Roman" w:hAnsi="Times New Roman" w:eastAsia="宋体"/>
                <w:kern w:val="0"/>
              </w:rPr>
              <w:t>13</w:t>
            </w:r>
          </w:p>
        </w:tc>
        <w:tc>
          <w:tcPr>
            <w:tcW w:w="756" w:type="dxa"/>
            <w:shd w:val="clear" w:color="auto" w:fill="DAEEF3" w:themeFill="accent5" w:themeFillTint="33"/>
          </w:tcPr>
          <w:p>
            <w:pPr>
              <w:jc w:val="center"/>
              <w:rPr>
                <w:rFonts w:ascii="Times New Roman" w:hAnsi="Times New Roman" w:eastAsia="宋体"/>
                <w:kern w:val="0"/>
              </w:rPr>
            </w:pPr>
            <w:r>
              <w:rPr>
                <w:rFonts w:ascii="Times New Roman" w:hAnsi="Times New Roman" w:eastAsia="宋体"/>
                <w:kern w:val="0"/>
              </w:rPr>
              <w:t>3.00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939" w:type="dxa"/>
            <w:vMerge w:val="restart"/>
            <w:shd w:val="clear" w:color="auto" w:fill="FFFFFF" w:themeFill="background1"/>
            <w:vAlign w:val="center"/>
          </w:tcPr>
          <w:p>
            <w:pPr>
              <w:jc w:val="center"/>
              <w:rPr>
                <w:rFonts w:ascii="Times New Roman" w:hAnsi="Times New Roman" w:eastAsia="宋体"/>
                <w:b/>
                <w:bCs/>
                <w:kern w:val="0"/>
              </w:rPr>
            </w:pPr>
            <w:r>
              <w:rPr>
                <w:rFonts w:hint="eastAsia" w:ascii="Times New Roman" w:hAnsi="Times New Roman" w:eastAsia="宋体"/>
                <w:b/>
                <w:bCs/>
                <w:kern w:val="0"/>
              </w:rPr>
              <w:t>深造</w:t>
            </w:r>
          </w:p>
        </w:tc>
        <w:tc>
          <w:tcPr>
            <w:tcW w:w="2136" w:type="dxa"/>
          </w:tcPr>
          <w:p>
            <w:pPr>
              <w:rPr>
                <w:rFonts w:ascii="Times New Roman" w:hAnsi="Times New Roman" w:eastAsia="宋体"/>
                <w:kern w:val="0"/>
              </w:rPr>
            </w:pPr>
            <w:r>
              <w:rPr>
                <w:rFonts w:hint="eastAsia" w:ascii="Times New Roman" w:hAnsi="Times New Roman" w:eastAsia="宋体"/>
                <w:kern w:val="0"/>
              </w:rPr>
              <w:t>国内升学</w:t>
            </w:r>
          </w:p>
        </w:tc>
        <w:tc>
          <w:tcPr>
            <w:tcW w:w="698" w:type="dxa"/>
          </w:tcPr>
          <w:p>
            <w:pPr>
              <w:jc w:val="center"/>
              <w:rPr>
                <w:rFonts w:ascii="Times New Roman" w:hAnsi="Times New Roman" w:eastAsia="宋体"/>
                <w:kern w:val="0"/>
              </w:rPr>
            </w:pPr>
            <w:r>
              <w:rPr>
                <w:rFonts w:ascii="Times New Roman" w:hAnsi="Times New Roman" w:eastAsia="宋体"/>
                <w:kern w:val="0"/>
              </w:rPr>
              <w:t>39</w:t>
            </w:r>
          </w:p>
        </w:tc>
        <w:tc>
          <w:tcPr>
            <w:tcW w:w="756" w:type="dxa"/>
          </w:tcPr>
          <w:p>
            <w:pPr>
              <w:jc w:val="center"/>
              <w:rPr>
                <w:rFonts w:ascii="Times New Roman" w:hAnsi="Times New Roman" w:eastAsia="宋体"/>
                <w:kern w:val="0"/>
              </w:rPr>
            </w:pPr>
            <w:r>
              <w:rPr>
                <w:rFonts w:ascii="Times New Roman" w:hAnsi="Times New Roman" w:eastAsia="宋体"/>
                <w:kern w:val="0"/>
              </w:rPr>
              <w:t>9.01</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出国（境）留学</w:t>
            </w:r>
          </w:p>
        </w:tc>
        <w:tc>
          <w:tcPr>
            <w:tcW w:w="698" w:type="dxa"/>
            <w:shd w:val="clear" w:color="auto" w:fill="DAEEF3" w:themeFill="accent5" w:themeFillTint="33"/>
          </w:tcPr>
          <w:p>
            <w:pPr>
              <w:jc w:val="center"/>
              <w:rPr>
                <w:rFonts w:ascii="Times New Roman" w:hAnsi="Times New Roman" w:eastAsia="宋体"/>
                <w:kern w:val="0"/>
              </w:rPr>
            </w:pPr>
            <w:r>
              <w:rPr>
                <w:rFonts w:ascii="Times New Roman" w:hAnsi="Times New Roman" w:eastAsia="宋体"/>
                <w:kern w:val="0"/>
              </w:rPr>
              <w:t>10</w:t>
            </w:r>
          </w:p>
        </w:tc>
        <w:tc>
          <w:tcPr>
            <w:tcW w:w="756" w:type="dxa"/>
            <w:shd w:val="clear" w:color="auto" w:fill="DAEEF3" w:themeFill="accent5" w:themeFillTint="33"/>
          </w:tcPr>
          <w:p>
            <w:pPr>
              <w:jc w:val="center"/>
              <w:rPr>
                <w:rFonts w:ascii="Times New Roman" w:hAnsi="Times New Roman" w:eastAsia="宋体"/>
                <w:kern w:val="0"/>
              </w:rPr>
            </w:pPr>
            <w:r>
              <w:rPr>
                <w:rFonts w:ascii="Times New Roman" w:hAnsi="Times New Roman" w:eastAsia="宋体"/>
                <w:kern w:val="0"/>
              </w:rPr>
              <w:t>2.31</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939" w:type="dxa"/>
            <w:vMerge w:val="restart"/>
            <w:shd w:val="clear" w:color="auto" w:fill="FFFFFF" w:themeFill="background1"/>
            <w:vAlign w:val="center"/>
          </w:tcPr>
          <w:p>
            <w:pPr>
              <w:jc w:val="center"/>
              <w:rPr>
                <w:rFonts w:ascii="Times New Roman" w:hAnsi="Times New Roman" w:eastAsia="宋体"/>
                <w:b/>
                <w:bCs/>
                <w:kern w:val="0"/>
              </w:rPr>
            </w:pPr>
            <w:r>
              <w:rPr>
                <w:rFonts w:hint="eastAsia" w:ascii="Times New Roman" w:hAnsi="Times New Roman" w:eastAsia="宋体"/>
                <w:b/>
                <w:bCs/>
                <w:kern w:val="0"/>
              </w:rPr>
              <w:t>未就业</w:t>
            </w:r>
          </w:p>
        </w:tc>
        <w:tc>
          <w:tcPr>
            <w:tcW w:w="2136" w:type="dxa"/>
          </w:tcPr>
          <w:p>
            <w:pPr>
              <w:rPr>
                <w:rFonts w:ascii="Times New Roman" w:hAnsi="Times New Roman" w:eastAsia="宋体"/>
                <w:kern w:val="0"/>
              </w:rPr>
            </w:pPr>
            <w:r>
              <w:rPr>
                <w:rFonts w:hint="eastAsia" w:ascii="Times New Roman" w:hAnsi="Times New Roman" w:eastAsia="宋体"/>
                <w:kern w:val="0"/>
              </w:rPr>
              <w:t>拟升学不就业</w:t>
            </w:r>
          </w:p>
        </w:tc>
        <w:tc>
          <w:tcPr>
            <w:tcW w:w="698" w:type="dxa"/>
          </w:tcPr>
          <w:p>
            <w:pPr>
              <w:jc w:val="center"/>
              <w:rPr>
                <w:rFonts w:ascii="Times New Roman" w:hAnsi="Times New Roman" w:eastAsia="宋体"/>
                <w:kern w:val="0"/>
              </w:rPr>
            </w:pPr>
            <w:r>
              <w:rPr>
                <w:rFonts w:ascii="Times New Roman" w:hAnsi="Times New Roman" w:eastAsia="宋体"/>
                <w:kern w:val="0"/>
              </w:rPr>
              <w:t>5</w:t>
            </w:r>
          </w:p>
        </w:tc>
        <w:tc>
          <w:tcPr>
            <w:tcW w:w="756" w:type="dxa"/>
          </w:tcPr>
          <w:p>
            <w:pPr>
              <w:jc w:val="center"/>
              <w:rPr>
                <w:rFonts w:ascii="Times New Roman" w:hAnsi="Times New Roman" w:eastAsia="宋体"/>
                <w:kern w:val="0"/>
              </w:rPr>
            </w:pPr>
            <w:r>
              <w:rPr>
                <w:rFonts w:ascii="Times New Roman" w:hAnsi="Times New Roman" w:eastAsia="宋体"/>
                <w:kern w:val="0"/>
              </w:rPr>
              <w:t>1.15</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拟出国不就业</w:t>
            </w:r>
          </w:p>
        </w:tc>
        <w:tc>
          <w:tcPr>
            <w:tcW w:w="698" w:type="dxa"/>
            <w:shd w:val="clear" w:color="auto" w:fill="DAEEF3" w:themeFill="accent5" w:themeFillTint="33"/>
          </w:tcPr>
          <w:p>
            <w:pPr>
              <w:jc w:val="center"/>
              <w:rPr>
                <w:rFonts w:ascii="Times New Roman" w:hAnsi="Times New Roman" w:eastAsia="宋体"/>
                <w:kern w:val="0"/>
              </w:rPr>
            </w:pPr>
            <w:r>
              <w:rPr>
                <w:rFonts w:ascii="Times New Roman" w:hAnsi="Times New Roman" w:eastAsia="宋体"/>
                <w:kern w:val="0"/>
              </w:rPr>
              <w:t>4</w:t>
            </w:r>
          </w:p>
        </w:tc>
        <w:tc>
          <w:tcPr>
            <w:tcW w:w="756" w:type="dxa"/>
            <w:shd w:val="clear" w:color="auto" w:fill="DAEEF3" w:themeFill="accent5" w:themeFillTint="33"/>
          </w:tcPr>
          <w:p>
            <w:pPr>
              <w:jc w:val="center"/>
              <w:rPr>
                <w:rFonts w:ascii="Times New Roman" w:hAnsi="Times New Roman" w:eastAsia="宋体"/>
                <w:kern w:val="0"/>
              </w:rPr>
            </w:pPr>
            <w:r>
              <w:rPr>
                <w:rFonts w:ascii="Times New Roman" w:hAnsi="Times New Roman" w:eastAsia="宋体"/>
                <w:kern w:val="0"/>
              </w:rPr>
              <w:t>0.92</w:t>
            </w:r>
          </w:p>
        </w:tc>
      </w:tr>
    </w:tbl>
    <w:p/>
    <w:p>
      <w:pPr>
        <w:spacing w:line="360" w:lineRule="auto"/>
        <w:ind w:firstLine="480" w:firstLineChars="200"/>
        <w:rPr>
          <w:rFonts w:ascii="Times New Roman" w:hAnsi="Times New Roman" w:eastAsia="宋体"/>
          <w:szCs w:val="24"/>
        </w:rPr>
      </w:pPr>
      <w:bookmarkStart w:id="35" w:name="_Hlk500774942"/>
      <w:r>
        <w:rPr>
          <w:rFonts w:hint="eastAsia" w:ascii="Times New Roman" w:hAnsi="Times New Roman" w:eastAsia="宋体"/>
          <w:szCs w:val="24"/>
        </w:rPr>
        <w:t>与2</w:t>
      </w:r>
      <w:r>
        <w:rPr>
          <w:rFonts w:ascii="Times New Roman" w:hAnsi="Times New Roman" w:eastAsia="宋体"/>
          <w:szCs w:val="24"/>
        </w:rPr>
        <w:t>016</w:t>
      </w:r>
      <w:r>
        <w:rPr>
          <w:rFonts w:hint="eastAsia" w:ascii="Times New Roman" w:hAnsi="Times New Roman" w:eastAsia="宋体"/>
          <w:szCs w:val="24"/>
        </w:rPr>
        <w:t>届相比而言，2</w:t>
      </w:r>
      <w:r>
        <w:rPr>
          <w:rFonts w:ascii="Times New Roman" w:hAnsi="Times New Roman" w:eastAsia="宋体"/>
          <w:szCs w:val="24"/>
        </w:rPr>
        <w:t>017</w:t>
      </w:r>
      <w:r>
        <w:rPr>
          <w:rFonts w:hint="eastAsia" w:ascii="Times New Roman" w:hAnsi="Times New Roman" w:eastAsia="宋体"/>
          <w:szCs w:val="24"/>
        </w:rPr>
        <w:t>届毕业生就业率上升了</w:t>
      </w:r>
      <w:r>
        <w:rPr>
          <w:rFonts w:ascii="Times New Roman" w:hAnsi="Times New Roman" w:eastAsia="宋体"/>
          <w:szCs w:val="24"/>
        </w:rPr>
        <w:t>2.63</w:t>
      </w:r>
      <w:r>
        <w:rPr>
          <w:rFonts w:hint="eastAsia" w:ascii="Times New Roman" w:hAnsi="Times New Roman" w:eastAsia="宋体"/>
          <w:szCs w:val="24"/>
        </w:rPr>
        <w:t>个百分点。其中，签署三方协议、自主创业、国内升学的比例高于2</w:t>
      </w:r>
      <w:r>
        <w:rPr>
          <w:rFonts w:ascii="Times New Roman" w:hAnsi="Times New Roman" w:eastAsia="宋体"/>
          <w:szCs w:val="24"/>
        </w:rPr>
        <w:t>016</w:t>
      </w:r>
      <w:r>
        <w:rPr>
          <w:rFonts w:hint="eastAsia" w:ascii="Times New Roman" w:hAnsi="Times New Roman" w:eastAsia="宋体"/>
          <w:szCs w:val="24"/>
        </w:rPr>
        <w:t>届毕业生，而出国（境）留学的比例低于2</w:t>
      </w:r>
      <w:r>
        <w:rPr>
          <w:rFonts w:ascii="Times New Roman" w:hAnsi="Times New Roman" w:eastAsia="宋体"/>
          <w:szCs w:val="24"/>
        </w:rPr>
        <w:t>016</w:t>
      </w:r>
      <w:r>
        <w:rPr>
          <w:rFonts w:hint="eastAsia" w:ascii="Times New Roman" w:hAnsi="Times New Roman" w:eastAsia="宋体"/>
          <w:szCs w:val="24"/>
        </w:rPr>
        <w:t>届毕业生。</w:t>
      </w:r>
    </w:p>
    <w:p>
      <w:pPr>
        <w:pStyle w:val="55"/>
        <w:adjustRightInd/>
        <w:snapToGrid/>
        <w:spacing w:before="312" w:after="156"/>
        <w:ind w:left="420" w:hanging="420"/>
      </w:pPr>
      <w:r>
        <w:rPr>
          <w:rFonts w:hint="eastAsia"/>
        </w:rPr>
        <w:t>2</w:t>
      </w:r>
      <w:r>
        <w:t>016</w:t>
      </w:r>
      <w:r>
        <w:rPr>
          <w:rFonts w:hint="eastAsia"/>
        </w:rPr>
        <w:t>届与2</w:t>
      </w:r>
      <w:r>
        <w:t>017</w:t>
      </w:r>
      <w:r>
        <w:rPr>
          <w:rFonts w:hint="eastAsia"/>
        </w:rPr>
        <w:t>届毕业生毕业去向比较情况</w:t>
      </w:r>
    </w:p>
    <w:tbl>
      <w:tblPr>
        <w:tblStyle w:val="144"/>
        <w:tblW w:w="6567" w:type="dxa"/>
        <w:jc w:val="center"/>
        <w:tblInd w:w="0"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939"/>
        <w:gridCol w:w="2136"/>
        <w:gridCol w:w="942"/>
        <w:gridCol w:w="850"/>
        <w:gridCol w:w="851"/>
        <w:gridCol w:w="849"/>
      </w:tblGrid>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5" w:hRule="atLeast"/>
          <w:jc w:val="center"/>
        </w:trPr>
        <w:tc>
          <w:tcPr>
            <w:tcW w:w="939" w:type="dxa"/>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4BACC6" w:themeFill="accent5"/>
          </w:tcPr>
          <w:p>
            <w:pPr>
              <w:ind w:firstLine="480"/>
              <w:rPr>
                <w:rFonts w:ascii="Times New Roman" w:hAnsi="Times New Roman" w:eastAsia="宋体"/>
                <w:b/>
                <w:bCs/>
                <w:color w:val="FFFFFF" w:themeColor="background1"/>
                <w:kern w:val="0"/>
              </w:rPr>
            </w:pPr>
          </w:p>
        </w:tc>
        <w:tc>
          <w:tcPr>
            <w:tcW w:w="2136" w:type="dxa"/>
            <w:tcBorders>
              <w:top w:val="single" w:color="4BACC6" w:themeColor="accent5" w:sz="4" w:space="0"/>
              <w:bottom w:val="single" w:color="4BACC6" w:themeColor="accent5" w:sz="4" w:space="0"/>
              <w:right w:val="nil"/>
              <w:insideH w:val="single" w:sz="4" w:space="0"/>
              <w:insideV w:val="nil"/>
            </w:tcBorders>
            <w:shd w:val="clear" w:color="auto" w:fill="4BACC6" w:themeFill="accent5"/>
          </w:tcPr>
          <w:p>
            <w:pPr>
              <w:rPr>
                <w:rFonts w:ascii="Times New Roman" w:hAnsi="Times New Roman" w:eastAsia="宋体"/>
                <w:b/>
                <w:bCs/>
                <w:color w:val="FFFFFF" w:themeColor="background1"/>
                <w:kern w:val="0"/>
              </w:rPr>
            </w:pPr>
          </w:p>
        </w:tc>
        <w:tc>
          <w:tcPr>
            <w:tcW w:w="1792" w:type="dxa"/>
            <w:gridSpan w:val="2"/>
            <w:tcBorders>
              <w:top w:val="single" w:color="4BACC6" w:themeColor="accent5" w:sz="4" w:space="0"/>
              <w:bottom w:val="single" w:color="4BACC6" w:themeColor="accent5" w:sz="4" w:space="0"/>
              <w:right w:val="nil"/>
              <w:insideH w:val="single" w:sz="4" w:space="0"/>
              <w:insideV w:val="nil"/>
            </w:tcBorders>
            <w:shd w:val="clear" w:color="auto" w:fill="4BACC6" w:themeFill="accent5"/>
          </w:tcPr>
          <w:p>
            <w:pPr>
              <w:jc w:val="center"/>
              <w:rPr>
                <w:rFonts w:ascii="Times New Roman" w:hAnsi="Times New Roman" w:eastAsia="宋体"/>
                <w:b/>
                <w:bCs/>
                <w:color w:val="FFFFFF" w:themeColor="background1"/>
                <w:kern w:val="0"/>
              </w:rPr>
            </w:pPr>
            <w:r>
              <w:rPr>
                <w:rFonts w:hint="eastAsia" w:ascii="Times New Roman" w:hAnsi="Times New Roman" w:eastAsia="宋体"/>
                <w:b/>
                <w:bCs/>
                <w:color w:val="FFFFFF" w:themeColor="background1"/>
                <w:kern w:val="0"/>
              </w:rPr>
              <w:t>2</w:t>
            </w:r>
            <w:r>
              <w:rPr>
                <w:rFonts w:ascii="Times New Roman" w:hAnsi="Times New Roman" w:eastAsia="宋体"/>
                <w:b/>
                <w:bCs/>
                <w:color w:val="FFFFFF" w:themeColor="background1"/>
                <w:kern w:val="0"/>
              </w:rPr>
              <w:t>016</w:t>
            </w:r>
            <w:r>
              <w:rPr>
                <w:rFonts w:hint="eastAsia" w:ascii="Times New Roman" w:hAnsi="Times New Roman" w:eastAsia="宋体"/>
                <w:b/>
                <w:bCs/>
                <w:color w:val="FFFFFF" w:themeColor="background1"/>
                <w:kern w:val="0"/>
              </w:rPr>
              <w:t>届</w:t>
            </w:r>
          </w:p>
        </w:tc>
        <w:tc>
          <w:tcPr>
            <w:tcW w:w="1700" w:type="dxa"/>
            <w:gridSpan w:val="2"/>
            <w:tcBorders>
              <w:top w:val="single" w:color="4BACC6" w:themeColor="accent5" w:sz="4" w:space="0"/>
              <w:bottom w:val="single" w:color="4BACC6" w:themeColor="accent5" w:sz="4" w:space="0"/>
              <w:right w:val="single" w:color="4BACC6" w:themeColor="accent5" w:sz="4" w:space="0"/>
              <w:insideH w:val="single" w:sz="4" w:space="0"/>
              <w:insideV w:val="nil"/>
            </w:tcBorders>
            <w:shd w:val="clear" w:color="auto" w:fill="4BACC6" w:themeFill="accent5"/>
          </w:tcPr>
          <w:p>
            <w:pPr>
              <w:jc w:val="center"/>
              <w:rPr>
                <w:rFonts w:ascii="Times New Roman" w:hAnsi="Times New Roman" w:eastAsia="宋体"/>
                <w:b/>
                <w:bCs/>
                <w:color w:val="FFFFFF" w:themeColor="background1"/>
                <w:kern w:val="0"/>
              </w:rPr>
            </w:pPr>
            <w:r>
              <w:rPr>
                <w:rFonts w:hint="eastAsia" w:ascii="Times New Roman" w:hAnsi="Times New Roman" w:eastAsia="宋体"/>
                <w:b/>
                <w:bCs/>
                <w:color w:val="FFFFFF" w:themeColor="background1"/>
                <w:kern w:val="0"/>
              </w:rPr>
              <w:t>2</w:t>
            </w:r>
            <w:r>
              <w:rPr>
                <w:rFonts w:ascii="Times New Roman" w:hAnsi="Times New Roman" w:eastAsia="宋体"/>
                <w:b/>
                <w:bCs/>
                <w:color w:val="FFFFFF" w:themeColor="background1"/>
                <w:kern w:val="0"/>
              </w:rPr>
              <w:t>017</w:t>
            </w:r>
            <w:r>
              <w:rPr>
                <w:rFonts w:hint="eastAsia" w:ascii="Times New Roman" w:hAnsi="Times New Roman" w:eastAsia="宋体"/>
                <w:b/>
                <w:bCs/>
                <w:color w:val="FFFFFF" w:themeColor="background1"/>
                <w:kern w:val="0"/>
              </w:rPr>
              <w:t>届</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5" w:hRule="atLeast"/>
          <w:jc w:val="center"/>
        </w:trPr>
        <w:tc>
          <w:tcPr>
            <w:tcW w:w="939" w:type="dxa"/>
            <w:shd w:val="clear" w:color="auto" w:fill="4BACC6" w:themeFill="accent5"/>
          </w:tcPr>
          <w:p>
            <w:pPr>
              <w:rPr>
                <w:rFonts w:ascii="Times New Roman" w:hAnsi="Times New Roman" w:eastAsia="宋体"/>
                <w:b w:val="0"/>
                <w:bCs w:val="0"/>
                <w:color w:val="FFFFFF" w:themeColor="background1"/>
                <w:kern w:val="0"/>
              </w:rPr>
            </w:pPr>
          </w:p>
        </w:tc>
        <w:tc>
          <w:tcPr>
            <w:tcW w:w="2136" w:type="dxa"/>
            <w:shd w:val="clear" w:color="auto" w:fill="4BACC6" w:themeFill="accent5"/>
          </w:tcPr>
          <w:p>
            <w:pPr>
              <w:rPr>
                <w:rFonts w:ascii="Times New Roman" w:hAnsi="Times New Roman" w:eastAsia="宋体"/>
                <w:b/>
                <w:bCs/>
                <w:color w:val="FFFFFF" w:themeColor="background1"/>
                <w:kern w:val="0"/>
              </w:rPr>
            </w:pPr>
          </w:p>
        </w:tc>
        <w:tc>
          <w:tcPr>
            <w:tcW w:w="942" w:type="dxa"/>
            <w:shd w:val="clear" w:color="auto" w:fill="4BACC6" w:themeFill="accent5"/>
          </w:tcPr>
          <w:p>
            <w:pPr>
              <w:jc w:val="center"/>
              <w:rPr>
                <w:rFonts w:ascii="Times New Roman" w:hAnsi="Times New Roman" w:eastAsia="宋体"/>
                <w:b/>
                <w:bCs/>
                <w:color w:val="FFFFFF" w:themeColor="background1"/>
                <w:kern w:val="0"/>
              </w:rPr>
            </w:pPr>
            <w:r>
              <w:rPr>
                <w:rFonts w:hint="eastAsia" w:ascii="Times New Roman" w:hAnsi="Times New Roman" w:eastAsia="宋体"/>
                <w:b/>
                <w:bCs/>
                <w:color w:val="FFFFFF" w:themeColor="background1"/>
                <w:kern w:val="0"/>
              </w:rPr>
              <w:t>人数</w:t>
            </w:r>
          </w:p>
        </w:tc>
        <w:tc>
          <w:tcPr>
            <w:tcW w:w="850" w:type="dxa"/>
            <w:shd w:val="clear" w:color="auto" w:fill="4BACC6" w:themeFill="accent5"/>
          </w:tcPr>
          <w:p>
            <w:pPr>
              <w:jc w:val="center"/>
              <w:rPr>
                <w:rFonts w:ascii="Times New Roman" w:hAnsi="Times New Roman" w:eastAsia="宋体"/>
                <w:b/>
                <w:bCs/>
                <w:color w:val="FFFFFF" w:themeColor="background1"/>
                <w:kern w:val="0"/>
              </w:rPr>
            </w:pPr>
            <w:r>
              <w:rPr>
                <w:rFonts w:hint="eastAsia" w:ascii="Times New Roman" w:hAnsi="Times New Roman" w:eastAsia="宋体"/>
                <w:b/>
                <w:bCs/>
                <w:color w:val="FFFFFF" w:themeColor="background1"/>
                <w:kern w:val="0"/>
              </w:rPr>
              <w:t>%</w:t>
            </w:r>
          </w:p>
        </w:tc>
        <w:tc>
          <w:tcPr>
            <w:tcW w:w="851" w:type="dxa"/>
            <w:shd w:val="clear" w:color="auto" w:fill="4BACC6" w:themeFill="accent5"/>
          </w:tcPr>
          <w:p>
            <w:pPr>
              <w:jc w:val="center"/>
              <w:rPr>
                <w:rFonts w:ascii="Times New Roman" w:hAnsi="Times New Roman" w:eastAsia="宋体"/>
                <w:b/>
                <w:bCs/>
                <w:color w:val="FFFFFF" w:themeColor="background1"/>
                <w:kern w:val="0"/>
              </w:rPr>
            </w:pPr>
            <w:r>
              <w:rPr>
                <w:rFonts w:hint="eastAsia" w:ascii="Times New Roman" w:hAnsi="Times New Roman" w:eastAsia="宋体"/>
                <w:b/>
                <w:bCs/>
                <w:color w:val="FFFFFF" w:themeColor="background1"/>
                <w:kern w:val="0"/>
              </w:rPr>
              <w:t>人数</w:t>
            </w:r>
          </w:p>
        </w:tc>
        <w:tc>
          <w:tcPr>
            <w:tcW w:w="849" w:type="dxa"/>
            <w:shd w:val="clear" w:color="auto" w:fill="4BACC6" w:themeFill="accent5"/>
          </w:tcPr>
          <w:p>
            <w:pPr>
              <w:jc w:val="center"/>
              <w:rPr>
                <w:rFonts w:ascii="Times New Roman" w:hAnsi="Times New Roman" w:eastAsia="宋体"/>
                <w:b/>
                <w:bCs/>
                <w:color w:val="FFFFFF" w:themeColor="background1"/>
                <w:kern w:val="0"/>
              </w:rPr>
            </w:pPr>
            <w:r>
              <w:rPr>
                <w:rFonts w:hint="eastAsia" w:ascii="Times New Roman" w:hAnsi="Times New Roman" w:eastAsia="宋体"/>
                <w:b/>
                <w:bCs/>
                <w:color w:val="FFFFFF" w:themeColor="background1"/>
                <w:kern w:val="0"/>
              </w:rPr>
              <w:t>%</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939" w:type="dxa"/>
            <w:vMerge w:val="restart"/>
            <w:shd w:val="clear" w:color="auto" w:fill="FFFFFF" w:themeFill="background1"/>
            <w:vAlign w:val="center"/>
          </w:tcPr>
          <w:p>
            <w:pPr>
              <w:jc w:val="center"/>
              <w:rPr>
                <w:rFonts w:ascii="Times New Roman" w:hAnsi="Times New Roman" w:eastAsia="宋体"/>
                <w:b/>
                <w:bCs/>
                <w:kern w:val="0"/>
              </w:rPr>
            </w:pPr>
            <w:r>
              <w:rPr>
                <w:rFonts w:hint="eastAsia" w:ascii="Times New Roman" w:hAnsi="Times New Roman" w:eastAsia="宋体"/>
                <w:b/>
                <w:bCs/>
                <w:kern w:val="0"/>
              </w:rPr>
              <w:t>就业</w:t>
            </w:r>
          </w:p>
        </w:tc>
        <w:tc>
          <w:tcPr>
            <w:tcW w:w="2136" w:type="dxa"/>
          </w:tcPr>
          <w:p>
            <w:pPr>
              <w:rPr>
                <w:rFonts w:ascii="Times New Roman" w:hAnsi="Times New Roman" w:eastAsia="宋体"/>
                <w:kern w:val="0"/>
              </w:rPr>
            </w:pPr>
            <w:r>
              <w:rPr>
                <w:rFonts w:hint="eastAsia" w:ascii="Times New Roman" w:hAnsi="Times New Roman" w:eastAsia="宋体"/>
                <w:kern w:val="0"/>
              </w:rPr>
              <w:t>签署三方协议</w:t>
            </w:r>
          </w:p>
        </w:tc>
        <w:tc>
          <w:tcPr>
            <w:tcW w:w="942" w:type="dxa"/>
            <w:vAlign w:val="center"/>
          </w:tcPr>
          <w:p>
            <w:pPr>
              <w:pStyle w:val="53"/>
              <w:jc w:val="center"/>
              <w:rPr>
                <w:rFonts w:cs="Times New Roman"/>
                <w:kern w:val="0"/>
              </w:rPr>
            </w:pPr>
            <w:r>
              <w:rPr>
                <w:rFonts w:cs="Times New Roman"/>
                <w:kern w:val="0"/>
              </w:rPr>
              <w:t>78</w:t>
            </w:r>
          </w:p>
        </w:tc>
        <w:tc>
          <w:tcPr>
            <w:tcW w:w="850" w:type="dxa"/>
            <w:vAlign w:val="center"/>
          </w:tcPr>
          <w:p>
            <w:pPr>
              <w:pStyle w:val="53"/>
              <w:jc w:val="center"/>
              <w:rPr>
                <w:rFonts w:cs="Times New Roman"/>
                <w:kern w:val="0"/>
              </w:rPr>
            </w:pPr>
            <w:r>
              <w:rPr>
                <w:rFonts w:cs="Times New Roman"/>
                <w:kern w:val="0"/>
              </w:rPr>
              <w:t>13.7</w:t>
            </w:r>
          </w:p>
        </w:tc>
        <w:tc>
          <w:tcPr>
            <w:tcW w:w="851" w:type="dxa"/>
          </w:tcPr>
          <w:p>
            <w:pPr>
              <w:jc w:val="center"/>
              <w:rPr>
                <w:rFonts w:ascii="Times New Roman" w:hAnsi="Times New Roman" w:eastAsia="宋体" w:cs="Times New Roman"/>
                <w:kern w:val="0"/>
              </w:rPr>
            </w:pPr>
            <w:r>
              <w:rPr>
                <w:rFonts w:ascii="Times New Roman" w:hAnsi="Times New Roman" w:eastAsia="宋体" w:cs="Times New Roman"/>
                <w:kern w:val="0"/>
              </w:rPr>
              <w:t>74</w:t>
            </w:r>
          </w:p>
        </w:tc>
        <w:tc>
          <w:tcPr>
            <w:tcW w:w="849" w:type="dxa"/>
          </w:tcPr>
          <w:p>
            <w:pPr>
              <w:jc w:val="center"/>
              <w:rPr>
                <w:rFonts w:ascii="Times New Roman" w:hAnsi="Times New Roman" w:eastAsia="宋体" w:cs="Times New Roman"/>
                <w:kern w:val="0"/>
              </w:rPr>
            </w:pPr>
            <w:r>
              <w:rPr>
                <w:rFonts w:ascii="Times New Roman" w:hAnsi="Times New Roman" w:eastAsia="宋体" w:cs="Times New Roman"/>
                <w:kern w:val="0"/>
              </w:rPr>
              <w:t>17.09</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签订劳动合同</w:t>
            </w:r>
          </w:p>
        </w:tc>
        <w:tc>
          <w:tcPr>
            <w:tcW w:w="942" w:type="dxa"/>
            <w:shd w:val="clear" w:color="auto" w:fill="DAEEF3" w:themeFill="accent5" w:themeFillTint="33"/>
            <w:vAlign w:val="center"/>
          </w:tcPr>
          <w:p>
            <w:pPr>
              <w:pStyle w:val="53"/>
              <w:jc w:val="center"/>
              <w:rPr>
                <w:rFonts w:cs="Times New Roman"/>
                <w:kern w:val="0"/>
              </w:rPr>
            </w:pPr>
            <w:r>
              <w:rPr>
                <w:rFonts w:cs="Times New Roman"/>
                <w:kern w:val="0"/>
              </w:rPr>
              <w:t>61</w:t>
            </w:r>
          </w:p>
        </w:tc>
        <w:tc>
          <w:tcPr>
            <w:tcW w:w="850" w:type="dxa"/>
            <w:shd w:val="clear" w:color="auto" w:fill="DAEEF3" w:themeFill="accent5" w:themeFillTint="33"/>
            <w:vAlign w:val="center"/>
          </w:tcPr>
          <w:p>
            <w:pPr>
              <w:pStyle w:val="53"/>
              <w:jc w:val="center"/>
              <w:rPr>
                <w:rFonts w:cs="Times New Roman"/>
                <w:kern w:val="0"/>
              </w:rPr>
            </w:pPr>
            <w:r>
              <w:rPr>
                <w:rFonts w:cs="Times New Roman"/>
                <w:kern w:val="0"/>
              </w:rPr>
              <w:t>10.7</w:t>
            </w:r>
          </w:p>
        </w:tc>
        <w:tc>
          <w:tcPr>
            <w:tcW w:w="851" w:type="dxa"/>
            <w:shd w:val="clear" w:color="auto" w:fill="DAEEF3" w:themeFill="accent5" w:themeFillTint="33"/>
          </w:tcPr>
          <w:p>
            <w:pPr>
              <w:jc w:val="center"/>
              <w:rPr>
                <w:rFonts w:ascii="Times New Roman" w:hAnsi="Times New Roman" w:eastAsia="宋体" w:cs="Times New Roman"/>
                <w:kern w:val="0"/>
              </w:rPr>
            </w:pPr>
            <w:r>
              <w:rPr>
                <w:rFonts w:ascii="Times New Roman" w:hAnsi="Times New Roman" w:eastAsia="宋体" w:cs="Times New Roman"/>
                <w:kern w:val="0"/>
              </w:rPr>
              <w:t>62</w:t>
            </w:r>
          </w:p>
        </w:tc>
        <w:tc>
          <w:tcPr>
            <w:tcW w:w="849" w:type="dxa"/>
            <w:shd w:val="clear" w:color="auto" w:fill="DAEEF3" w:themeFill="accent5" w:themeFillTint="33"/>
          </w:tcPr>
          <w:p>
            <w:pPr>
              <w:jc w:val="center"/>
              <w:rPr>
                <w:rFonts w:ascii="Times New Roman" w:hAnsi="Times New Roman" w:eastAsia="宋体" w:cs="Times New Roman"/>
                <w:kern w:val="0"/>
              </w:rPr>
            </w:pPr>
            <w:r>
              <w:rPr>
                <w:rFonts w:ascii="Times New Roman" w:hAnsi="Times New Roman" w:eastAsia="宋体" w:cs="Times New Roman"/>
                <w:kern w:val="0"/>
              </w:rPr>
              <w:t>14.32</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tcPr>
          <w:p>
            <w:pPr>
              <w:rPr>
                <w:rFonts w:ascii="Times New Roman" w:hAnsi="Times New Roman" w:eastAsia="宋体"/>
                <w:kern w:val="0"/>
              </w:rPr>
            </w:pPr>
            <w:r>
              <w:rPr>
                <w:rFonts w:hint="eastAsia" w:ascii="Times New Roman" w:hAnsi="Times New Roman" w:eastAsia="宋体"/>
                <w:kern w:val="0"/>
              </w:rPr>
              <w:t>单位开具用人证明</w:t>
            </w:r>
          </w:p>
        </w:tc>
        <w:tc>
          <w:tcPr>
            <w:tcW w:w="942" w:type="dxa"/>
            <w:vAlign w:val="center"/>
          </w:tcPr>
          <w:p>
            <w:pPr>
              <w:pStyle w:val="53"/>
              <w:jc w:val="center"/>
              <w:rPr>
                <w:rFonts w:cs="Times New Roman"/>
                <w:kern w:val="0"/>
              </w:rPr>
            </w:pPr>
            <w:r>
              <w:rPr>
                <w:rFonts w:cs="Times New Roman"/>
                <w:kern w:val="0"/>
              </w:rPr>
              <w:t>27</w:t>
            </w:r>
          </w:p>
        </w:tc>
        <w:tc>
          <w:tcPr>
            <w:tcW w:w="850" w:type="dxa"/>
            <w:vAlign w:val="center"/>
          </w:tcPr>
          <w:p>
            <w:pPr>
              <w:pStyle w:val="53"/>
              <w:jc w:val="center"/>
              <w:rPr>
                <w:rFonts w:cs="Times New Roman"/>
                <w:kern w:val="0"/>
              </w:rPr>
            </w:pPr>
            <w:r>
              <w:rPr>
                <w:rFonts w:cs="Times New Roman"/>
                <w:kern w:val="0"/>
              </w:rPr>
              <w:t>4.7</w:t>
            </w:r>
          </w:p>
        </w:tc>
        <w:tc>
          <w:tcPr>
            <w:tcW w:w="851" w:type="dxa"/>
          </w:tcPr>
          <w:p>
            <w:pPr>
              <w:jc w:val="center"/>
              <w:rPr>
                <w:rFonts w:ascii="Times New Roman" w:hAnsi="Times New Roman" w:eastAsia="宋体" w:cs="Times New Roman"/>
                <w:kern w:val="0"/>
              </w:rPr>
            </w:pPr>
            <w:r>
              <w:rPr>
                <w:rFonts w:ascii="Times New Roman" w:hAnsi="Times New Roman" w:eastAsia="宋体" w:cs="Times New Roman"/>
                <w:kern w:val="0"/>
              </w:rPr>
              <w:t>30</w:t>
            </w:r>
          </w:p>
        </w:tc>
        <w:tc>
          <w:tcPr>
            <w:tcW w:w="849" w:type="dxa"/>
          </w:tcPr>
          <w:p>
            <w:pPr>
              <w:jc w:val="center"/>
              <w:rPr>
                <w:rFonts w:ascii="Times New Roman" w:hAnsi="Times New Roman" w:eastAsia="宋体" w:cs="Times New Roman"/>
                <w:kern w:val="0"/>
              </w:rPr>
            </w:pPr>
            <w:r>
              <w:rPr>
                <w:rFonts w:ascii="Times New Roman" w:hAnsi="Times New Roman" w:eastAsia="宋体" w:cs="Times New Roman"/>
                <w:kern w:val="0"/>
              </w:rPr>
              <w:t>6.93</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自由职业</w:t>
            </w:r>
          </w:p>
        </w:tc>
        <w:tc>
          <w:tcPr>
            <w:tcW w:w="942" w:type="dxa"/>
            <w:shd w:val="clear" w:color="auto" w:fill="DAEEF3" w:themeFill="accent5" w:themeFillTint="33"/>
            <w:vAlign w:val="center"/>
          </w:tcPr>
          <w:p>
            <w:pPr>
              <w:pStyle w:val="53"/>
              <w:jc w:val="center"/>
              <w:rPr>
                <w:rFonts w:cs="Times New Roman"/>
                <w:kern w:val="0"/>
              </w:rPr>
            </w:pPr>
            <w:r>
              <w:rPr>
                <w:rFonts w:cs="Times New Roman"/>
                <w:kern w:val="0"/>
              </w:rPr>
              <w:t>316</w:t>
            </w:r>
          </w:p>
        </w:tc>
        <w:tc>
          <w:tcPr>
            <w:tcW w:w="850" w:type="dxa"/>
            <w:shd w:val="clear" w:color="auto" w:fill="DAEEF3" w:themeFill="accent5" w:themeFillTint="33"/>
            <w:vAlign w:val="center"/>
          </w:tcPr>
          <w:p>
            <w:pPr>
              <w:pStyle w:val="53"/>
              <w:jc w:val="center"/>
              <w:rPr>
                <w:rFonts w:cs="Times New Roman"/>
                <w:kern w:val="0"/>
              </w:rPr>
            </w:pPr>
            <w:r>
              <w:rPr>
                <w:rFonts w:cs="Times New Roman"/>
                <w:kern w:val="0"/>
              </w:rPr>
              <w:t>55.4</w:t>
            </w:r>
          </w:p>
        </w:tc>
        <w:tc>
          <w:tcPr>
            <w:tcW w:w="851" w:type="dxa"/>
            <w:shd w:val="clear" w:color="auto" w:fill="DAEEF3" w:themeFill="accent5" w:themeFillTint="33"/>
          </w:tcPr>
          <w:p>
            <w:pPr>
              <w:jc w:val="center"/>
              <w:rPr>
                <w:rFonts w:ascii="Times New Roman" w:hAnsi="Times New Roman" w:eastAsia="宋体" w:cs="Times New Roman"/>
                <w:kern w:val="0"/>
              </w:rPr>
            </w:pPr>
            <w:r>
              <w:rPr>
                <w:rFonts w:ascii="Times New Roman" w:hAnsi="Times New Roman" w:eastAsia="宋体" w:cs="Times New Roman"/>
                <w:kern w:val="0"/>
              </w:rPr>
              <w:t>196</w:t>
            </w:r>
          </w:p>
        </w:tc>
        <w:tc>
          <w:tcPr>
            <w:tcW w:w="849" w:type="dxa"/>
            <w:shd w:val="clear" w:color="auto" w:fill="DAEEF3" w:themeFill="accent5" w:themeFillTint="33"/>
          </w:tcPr>
          <w:p>
            <w:pPr>
              <w:jc w:val="center"/>
              <w:rPr>
                <w:rFonts w:ascii="Times New Roman" w:hAnsi="Times New Roman" w:eastAsia="宋体" w:cs="Times New Roman"/>
                <w:kern w:val="0"/>
              </w:rPr>
            </w:pPr>
            <w:r>
              <w:rPr>
                <w:rFonts w:ascii="Times New Roman" w:hAnsi="Times New Roman" w:eastAsia="宋体" w:cs="Times New Roman"/>
                <w:kern w:val="0"/>
              </w:rPr>
              <w:t>45.27</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tcPr>
          <w:p>
            <w:pPr>
              <w:rPr>
                <w:rFonts w:ascii="Times New Roman" w:hAnsi="Times New Roman" w:eastAsia="宋体"/>
                <w:kern w:val="0"/>
              </w:rPr>
            </w:pPr>
            <w:r>
              <w:rPr>
                <w:rFonts w:hint="eastAsia" w:ascii="Times New Roman" w:hAnsi="Times New Roman" w:eastAsia="宋体"/>
                <w:kern w:val="0"/>
              </w:rPr>
              <w:t>自主创业</w:t>
            </w:r>
          </w:p>
        </w:tc>
        <w:tc>
          <w:tcPr>
            <w:tcW w:w="942" w:type="dxa"/>
            <w:vAlign w:val="center"/>
          </w:tcPr>
          <w:p>
            <w:pPr>
              <w:pStyle w:val="53"/>
              <w:jc w:val="center"/>
              <w:rPr>
                <w:rFonts w:cs="Times New Roman"/>
                <w:kern w:val="0"/>
              </w:rPr>
            </w:pPr>
            <w:r>
              <w:rPr>
                <w:rFonts w:cs="Times New Roman"/>
                <w:kern w:val="0"/>
              </w:rPr>
              <w:t>13</w:t>
            </w:r>
          </w:p>
        </w:tc>
        <w:tc>
          <w:tcPr>
            <w:tcW w:w="850" w:type="dxa"/>
            <w:vAlign w:val="center"/>
          </w:tcPr>
          <w:p>
            <w:pPr>
              <w:pStyle w:val="53"/>
              <w:jc w:val="center"/>
              <w:rPr>
                <w:rFonts w:cs="Times New Roman"/>
                <w:kern w:val="0"/>
              </w:rPr>
            </w:pPr>
            <w:r>
              <w:rPr>
                <w:rFonts w:cs="Times New Roman"/>
                <w:kern w:val="0"/>
              </w:rPr>
              <w:t>2.3</w:t>
            </w:r>
          </w:p>
        </w:tc>
        <w:tc>
          <w:tcPr>
            <w:tcW w:w="851" w:type="dxa"/>
          </w:tcPr>
          <w:p>
            <w:pPr>
              <w:jc w:val="center"/>
              <w:rPr>
                <w:rFonts w:ascii="Times New Roman" w:hAnsi="Times New Roman" w:eastAsia="宋体" w:cs="Times New Roman"/>
                <w:kern w:val="0"/>
              </w:rPr>
            </w:pPr>
            <w:r>
              <w:rPr>
                <w:rFonts w:ascii="Times New Roman" w:hAnsi="Times New Roman" w:eastAsia="宋体" w:cs="Times New Roman"/>
                <w:kern w:val="0"/>
              </w:rPr>
              <w:t>13</w:t>
            </w:r>
          </w:p>
        </w:tc>
        <w:tc>
          <w:tcPr>
            <w:tcW w:w="849" w:type="dxa"/>
          </w:tcPr>
          <w:p>
            <w:pPr>
              <w:jc w:val="center"/>
              <w:rPr>
                <w:rFonts w:ascii="Times New Roman" w:hAnsi="Times New Roman" w:eastAsia="宋体" w:cs="Times New Roman"/>
                <w:kern w:val="0"/>
              </w:rPr>
            </w:pPr>
            <w:r>
              <w:rPr>
                <w:rFonts w:ascii="Times New Roman" w:hAnsi="Times New Roman" w:eastAsia="宋体" w:cs="Times New Roman"/>
                <w:kern w:val="0"/>
              </w:rPr>
              <w:t>3.00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939" w:type="dxa"/>
            <w:vMerge w:val="restart"/>
            <w:shd w:val="clear" w:color="auto" w:fill="FFFFFF" w:themeFill="background1"/>
            <w:vAlign w:val="center"/>
          </w:tcPr>
          <w:p>
            <w:pPr>
              <w:jc w:val="center"/>
              <w:rPr>
                <w:rFonts w:ascii="Times New Roman" w:hAnsi="Times New Roman" w:eastAsia="宋体"/>
                <w:b/>
                <w:bCs/>
                <w:kern w:val="0"/>
              </w:rPr>
            </w:pPr>
            <w:r>
              <w:rPr>
                <w:rFonts w:hint="eastAsia" w:ascii="Times New Roman" w:hAnsi="Times New Roman" w:eastAsia="宋体"/>
                <w:b/>
                <w:bCs/>
                <w:kern w:val="0"/>
              </w:rPr>
              <w:t>深造</w:t>
            </w:r>
          </w:p>
        </w:tc>
        <w:tc>
          <w:tcPr>
            <w:tcW w:w="2136"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国内升学</w:t>
            </w:r>
          </w:p>
        </w:tc>
        <w:tc>
          <w:tcPr>
            <w:tcW w:w="942" w:type="dxa"/>
            <w:shd w:val="clear" w:color="auto" w:fill="DAEEF3" w:themeFill="accent5" w:themeFillTint="33"/>
            <w:vAlign w:val="center"/>
          </w:tcPr>
          <w:p>
            <w:pPr>
              <w:pStyle w:val="53"/>
              <w:jc w:val="center"/>
              <w:rPr>
                <w:rFonts w:cs="Times New Roman"/>
                <w:kern w:val="0"/>
              </w:rPr>
            </w:pPr>
            <w:r>
              <w:rPr>
                <w:rFonts w:cs="Times New Roman"/>
                <w:kern w:val="0"/>
              </w:rPr>
              <w:t>33</w:t>
            </w:r>
          </w:p>
        </w:tc>
        <w:tc>
          <w:tcPr>
            <w:tcW w:w="850" w:type="dxa"/>
            <w:shd w:val="clear" w:color="auto" w:fill="DAEEF3" w:themeFill="accent5" w:themeFillTint="33"/>
            <w:vAlign w:val="center"/>
          </w:tcPr>
          <w:p>
            <w:pPr>
              <w:pStyle w:val="53"/>
              <w:jc w:val="center"/>
              <w:rPr>
                <w:rFonts w:cs="Times New Roman"/>
                <w:kern w:val="0"/>
              </w:rPr>
            </w:pPr>
            <w:r>
              <w:rPr>
                <w:rFonts w:cs="Times New Roman"/>
                <w:kern w:val="0"/>
              </w:rPr>
              <w:t>5.8</w:t>
            </w:r>
          </w:p>
        </w:tc>
        <w:tc>
          <w:tcPr>
            <w:tcW w:w="851" w:type="dxa"/>
            <w:shd w:val="clear" w:color="auto" w:fill="DAEEF3" w:themeFill="accent5" w:themeFillTint="33"/>
          </w:tcPr>
          <w:p>
            <w:pPr>
              <w:jc w:val="center"/>
              <w:rPr>
                <w:rFonts w:ascii="Times New Roman" w:hAnsi="Times New Roman" w:eastAsia="宋体" w:cs="Times New Roman"/>
                <w:kern w:val="0"/>
              </w:rPr>
            </w:pPr>
            <w:r>
              <w:rPr>
                <w:rFonts w:ascii="Times New Roman" w:hAnsi="Times New Roman" w:eastAsia="宋体" w:cs="Times New Roman"/>
                <w:kern w:val="0"/>
              </w:rPr>
              <w:t>39</w:t>
            </w:r>
          </w:p>
        </w:tc>
        <w:tc>
          <w:tcPr>
            <w:tcW w:w="849" w:type="dxa"/>
            <w:shd w:val="clear" w:color="auto" w:fill="DAEEF3" w:themeFill="accent5" w:themeFillTint="33"/>
          </w:tcPr>
          <w:p>
            <w:pPr>
              <w:jc w:val="center"/>
              <w:rPr>
                <w:rFonts w:ascii="Times New Roman" w:hAnsi="Times New Roman" w:eastAsia="宋体" w:cs="Times New Roman"/>
                <w:kern w:val="0"/>
              </w:rPr>
            </w:pPr>
            <w:r>
              <w:rPr>
                <w:rFonts w:ascii="Times New Roman" w:hAnsi="Times New Roman" w:eastAsia="宋体" w:cs="Times New Roman"/>
                <w:kern w:val="0"/>
              </w:rPr>
              <w:t>9.01</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tcPr>
          <w:p>
            <w:pPr>
              <w:rPr>
                <w:rFonts w:ascii="Times New Roman" w:hAnsi="Times New Roman" w:eastAsia="宋体"/>
                <w:kern w:val="0"/>
              </w:rPr>
            </w:pPr>
            <w:r>
              <w:rPr>
                <w:rFonts w:hint="eastAsia" w:ascii="Times New Roman" w:hAnsi="Times New Roman" w:eastAsia="宋体"/>
                <w:kern w:val="0"/>
              </w:rPr>
              <w:t>出国（境）留学</w:t>
            </w:r>
          </w:p>
        </w:tc>
        <w:tc>
          <w:tcPr>
            <w:tcW w:w="942" w:type="dxa"/>
            <w:vAlign w:val="center"/>
          </w:tcPr>
          <w:p>
            <w:pPr>
              <w:pStyle w:val="53"/>
              <w:jc w:val="center"/>
              <w:rPr>
                <w:rFonts w:cs="Times New Roman"/>
                <w:kern w:val="0"/>
              </w:rPr>
            </w:pPr>
            <w:r>
              <w:rPr>
                <w:rFonts w:cs="Times New Roman"/>
                <w:kern w:val="0"/>
              </w:rPr>
              <w:t>15</w:t>
            </w:r>
          </w:p>
        </w:tc>
        <w:tc>
          <w:tcPr>
            <w:tcW w:w="850" w:type="dxa"/>
            <w:vAlign w:val="center"/>
          </w:tcPr>
          <w:p>
            <w:pPr>
              <w:pStyle w:val="53"/>
              <w:jc w:val="center"/>
              <w:rPr>
                <w:rFonts w:cs="Times New Roman"/>
                <w:kern w:val="0"/>
              </w:rPr>
            </w:pPr>
            <w:r>
              <w:rPr>
                <w:rFonts w:cs="Times New Roman"/>
                <w:kern w:val="0"/>
              </w:rPr>
              <w:t>2.6</w:t>
            </w:r>
          </w:p>
        </w:tc>
        <w:tc>
          <w:tcPr>
            <w:tcW w:w="851" w:type="dxa"/>
          </w:tcPr>
          <w:p>
            <w:pPr>
              <w:jc w:val="center"/>
              <w:rPr>
                <w:rFonts w:ascii="Times New Roman" w:hAnsi="Times New Roman" w:eastAsia="宋体" w:cs="Times New Roman"/>
                <w:kern w:val="0"/>
              </w:rPr>
            </w:pPr>
            <w:r>
              <w:rPr>
                <w:rFonts w:ascii="Times New Roman" w:hAnsi="Times New Roman" w:eastAsia="宋体" w:cs="Times New Roman"/>
                <w:kern w:val="0"/>
              </w:rPr>
              <w:t>10</w:t>
            </w:r>
          </w:p>
        </w:tc>
        <w:tc>
          <w:tcPr>
            <w:tcW w:w="849" w:type="dxa"/>
          </w:tcPr>
          <w:p>
            <w:pPr>
              <w:jc w:val="center"/>
              <w:rPr>
                <w:rFonts w:ascii="Times New Roman" w:hAnsi="Times New Roman" w:eastAsia="宋体" w:cs="Times New Roman"/>
                <w:kern w:val="0"/>
              </w:rPr>
            </w:pPr>
            <w:r>
              <w:rPr>
                <w:rFonts w:ascii="Times New Roman" w:hAnsi="Times New Roman" w:eastAsia="宋体" w:cs="Times New Roman"/>
                <w:kern w:val="0"/>
              </w:rPr>
              <w:t>2.31</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939" w:type="dxa"/>
            <w:vMerge w:val="restart"/>
            <w:shd w:val="clear" w:color="auto" w:fill="FFFFFF" w:themeFill="background1"/>
            <w:vAlign w:val="center"/>
          </w:tcPr>
          <w:p>
            <w:pPr>
              <w:jc w:val="center"/>
              <w:rPr>
                <w:rFonts w:ascii="Times New Roman" w:hAnsi="Times New Roman" w:eastAsia="宋体"/>
                <w:b/>
                <w:bCs/>
                <w:kern w:val="0"/>
              </w:rPr>
            </w:pPr>
            <w:r>
              <w:rPr>
                <w:rFonts w:hint="eastAsia" w:ascii="Times New Roman" w:hAnsi="Times New Roman" w:eastAsia="宋体"/>
                <w:b/>
                <w:bCs/>
                <w:kern w:val="0"/>
              </w:rPr>
              <w:t>未就业</w:t>
            </w:r>
          </w:p>
        </w:tc>
        <w:tc>
          <w:tcPr>
            <w:tcW w:w="2136"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求职中</w:t>
            </w:r>
          </w:p>
        </w:tc>
        <w:tc>
          <w:tcPr>
            <w:tcW w:w="942" w:type="dxa"/>
            <w:shd w:val="clear" w:color="auto" w:fill="DAEEF3" w:themeFill="accent5" w:themeFillTint="33"/>
            <w:vAlign w:val="center"/>
          </w:tcPr>
          <w:p>
            <w:pPr>
              <w:pStyle w:val="53"/>
              <w:jc w:val="center"/>
              <w:rPr>
                <w:rFonts w:cs="Times New Roman"/>
                <w:kern w:val="0"/>
              </w:rPr>
            </w:pPr>
            <w:r>
              <w:rPr>
                <w:rFonts w:cs="Times New Roman"/>
                <w:kern w:val="0"/>
              </w:rPr>
              <w:t>14</w:t>
            </w:r>
          </w:p>
        </w:tc>
        <w:tc>
          <w:tcPr>
            <w:tcW w:w="850" w:type="dxa"/>
            <w:shd w:val="clear" w:color="auto" w:fill="DAEEF3" w:themeFill="accent5" w:themeFillTint="33"/>
            <w:vAlign w:val="center"/>
          </w:tcPr>
          <w:p>
            <w:pPr>
              <w:pStyle w:val="53"/>
              <w:jc w:val="center"/>
              <w:rPr>
                <w:rFonts w:cs="Times New Roman"/>
                <w:kern w:val="0"/>
              </w:rPr>
            </w:pPr>
            <w:r>
              <w:rPr>
                <w:rFonts w:cs="Times New Roman"/>
                <w:kern w:val="0"/>
              </w:rPr>
              <w:t>2.5</w:t>
            </w:r>
          </w:p>
        </w:tc>
        <w:tc>
          <w:tcPr>
            <w:tcW w:w="851"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849"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tcPr>
          <w:p>
            <w:pPr>
              <w:rPr>
                <w:rFonts w:ascii="Times New Roman" w:hAnsi="Times New Roman" w:eastAsia="宋体"/>
                <w:kern w:val="0"/>
              </w:rPr>
            </w:pPr>
            <w:r>
              <w:rPr>
                <w:rFonts w:hint="eastAsia" w:ascii="Times New Roman" w:hAnsi="Times New Roman" w:eastAsia="宋体"/>
                <w:kern w:val="0"/>
              </w:rPr>
              <w:t>拟升学不就业</w:t>
            </w:r>
          </w:p>
        </w:tc>
        <w:tc>
          <w:tcPr>
            <w:tcW w:w="942" w:type="dxa"/>
            <w:vAlign w:val="center"/>
          </w:tcPr>
          <w:p>
            <w:pPr>
              <w:pStyle w:val="53"/>
              <w:jc w:val="center"/>
              <w:rPr>
                <w:rFonts w:cs="Times New Roman"/>
                <w:kern w:val="0"/>
              </w:rPr>
            </w:pPr>
            <w:r>
              <w:rPr>
                <w:rFonts w:cs="Times New Roman"/>
                <w:kern w:val="0"/>
              </w:rPr>
              <w:t>4</w:t>
            </w:r>
          </w:p>
        </w:tc>
        <w:tc>
          <w:tcPr>
            <w:tcW w:w="850" w:type="dxa"/>
            <w:vAlign w:val="center"/>
          </w:tcPr>
          <w:p>
            <w:pPr>
              <w:pStyle w:val="53"/>
              <w:jc w:val="center"/>
              <w:rPr>
                <w:rFonts w:cs="Times New Roman"/>
                <w:kern w:val="0"/>
              </w:rPr>
            </w:pPr>
            <w:r>
              <w:rPr>
                <w:rFonts w:cs="Times New Roman"/>
                <w:kern w:val="0"/>
              </w:rPr>
              <w:t>0.7</w:t>
            </w:r>
          </w:p>
        </w:tc>
        <w:tc>
          <w:tcPr>
            <w:tcW w:w="851" w:type="dxa"/>
          </w:tcPr>
          <w:p>
            <w:pPr>
              <w:jc w:val="center"/>
              <w:rPr>
                <w:rFonts w:ascii="Times New Roman" w:hAnsi="Times New Roman" w:eastAsia="宋体" w:cs="Times New Roman"/>
                <w:kern w:val="0"/>
              </w:rPr>
            </w:pPr>
            <w:r>
              <w:rPr>
                <w:rFonts w:ascii="Times New Roman" w:hAnsi="Times New Roman" w:eastAsia="宋体" w:cs="Times New Roman"/>
                <w:kern w:val="0"/>
              </w:rPr>
              <w:t>5</w:t>
            </w:r>
          </w:p>
        </w:tc>
        <w:tc>
          <w:tcPr>
            <w:tcW w:w="849" w:type="dxa"/>
          </w:tcPr>
          <w:p>
            <w:pPr>
              <w:jc w:val="center"/>
              <w:rPr>
                <w:rFonts w:ascii="Times New Roman" w:hAnsi="Times New Roman" w:eastAsia="宋体" w:cs="Times New Roman"/>
                <w:kern w:val="0"/>
              </w:rPr>
            </w:pPr>
            <w:r>
              <w:rPr>
                <w:rFonts w:ascii="Times New Roman" w:hAnsi="Times New Roman" w:eastAsia="宋体" w:cs="Times New Roman"/>
                <w:kern w:val="0"/>
              </w:rPr>
              <w:t>1.15</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shd w:val="clear" w:color="auto" w:fill="DAEEF3" w:themeFill="accent5" w:themeFillTint="33"/>
            <w:vAlign w:val="center"/>
          </w:tcPr>
          <w:p>
            <w:pPr>
              <w:pStyle w:val="53"/>
              <w:rPr>
                <w:kern w:val="0"/>
              </w:rPr>
            </w:pPr>
            <w:r>
              <w:rPr>
                <w:rFonts w:hint="eastAsia"/>
                <w:kern w:val="0"/>
              </w:rPr>
              <w:t>拟出国不就业</w:t>
            </w:r>
          </w:p>
        </w:tc>
        <w:tc>
          <w:tcPr>
            <w:tcW w:w="942" w:type="dxa"/>
            <w:shd w:val="clear" w:color="auto" w:fill="DAEEF3" w:themeFill="accent5" w:themeFillTint="33"/>
            <w:vAlign w:val="center"/>
          </w:tcPr>
          <w:p>
            <w:pPr>
              <w:pStyle w:val="53"/>
              <w:jc w:val="center"/>
              <w:rPr>
                <w:rFonts w:cs="Times New Roman"/>
                <w:kern w:val="0"/>
              </w:rPr>
            </w:pPr>
            <w:r>
              <w:rPr>
                <w:rFonts w:cs="Times New Roman"/>
                <w:kern w:val="0"/>
              </w:rPr>
              <w:t>7</w:t>
            </w:r>
          </w:p>
        </w:tc>
        <w:tc>
          <w:tcPr>
            <w:tcW w:w="850" w:type="dxa"/>
            <w:shd w:val="clear" w:color="auto" w:fill="DAEEF3" w:themeFill="accent5" w:themeFillTint="33"/>
            <w:vAlign w:val="center"/>
          </w:tcPr>
          <w:p>
            <w:pPr>
              <w:pStyle w:val="53"/>
              <w:jc w:val="center"/>
              <w:rPr>
                <w:rFonts w:cs="Times New Roman"/>
                <w:kern w:val="0"/>
              </w:rPr>
            </w:pPr>
            <w:r>
              <w:rPr>
                <w:rFonts w:cs="Times New Roman"/>
                <w:kern w:val="0"/>
              </w:rPr>
              <w:t>1.2</w:t>
            </w:r>
          </w:p>
        </w:tc>
        <w:tc>
          <w:tcPr>
            <w:tcW w:w="851" w:type="dxa"/>
            <w:shd w:val="clear" w:color="auto" w:fill="DAEEF3" w:themeFill="accent5" w:themeFillTint="33"/>
          </w:tcPr>
          <w:p>
            <w:pPr>
              <w:jc w:val="center"/>
              <w:rPr>
                <w:rFonts w:ascii="Times New Roman" w:hAnsi="Times New Roman" w:eastAsia="宋体" w:cs="Times New Roman"/>
                <w:kern w:val="0"/>
              </w:rPr>
            </w:pPr>
            <w:r>
              <w:rPr>
                <w:rFonts w:ascii="Times New Roman" w:hAnsi="Times New Roman" w:eastAsia="宋体" w:cs="Times New Roman"/>
                <w:kern w:val="0"/>
              </w:rPr>
              <w:t>4</w:t>
            </w:r>
          </w:p>
        </w:tc>
        <w:tc>
          <w:tcPr>
            <w:tcW w:w="849" w:type="dxa"/>
            <w:shd w:val="clear" w:color="auto" w:fill="DAEEF3" w:themeFill="accent5" w:themeFillTint="33"/>
          </w:tcPr>
          <w:p>
            <w:pPr>
              <w:jc w:val="center"/>
              <w:rPr>
                <w:rFonts w:ascii="Times New Roman" w:hAnsi="Times New Roman" w:eastAsia="宋体" w:cs="Times New Roman"/>
                <w:kern w:val="0"/>
              </w:rPr>
            </w:pPr>
            <w:r>
              <w:rPr>
                <w:rFonts w:ascii="Times New Roman" w:hAnsi="Times New Roman" w:eastAsia="宋体" w:cs="Times New Roman"/>
                <w:kern w:val="0"/>
              </w:rPr>
              <w:t>0.92</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vAlign w:val="center"/>
          </w:tcPr>
          <w:p>
            <w:pPr>
              <w:pStyle w:val="53"/>
              <w:rPr>
                <w:kern w:val="0"/>
              </w:rPr>
            </w:pPr>
            <w:r>
              <w:rPr>
                <w:rFonts w:hint="eastAsia"/>
                <w:kern w:val="0"/>
              </w:rPr>
              <w:t>暂不就业</w:t>
            </w:r>
          </w:p>
        </w:tc>
        <w:tc>
          <w:tcPr>
            <w:tcW w:w="942" w:type="dxa"/>
            <w:vAlign w:val="center"/>
          </w:tcPr>
          <w:p>
            <w:pPr>
              <w:pStyle w:val="53"/>
              <w:jc w:val="center"/>
              <w:rPr>
                <w:rFonts w:cs="Times New Roman"/>
                <w:kern w:val="0"/>
              </w:rPr>
            </w:pPr>
            <w:r>
              <w:rPr>
                <w:rFonts w:cs="Times New Roman"/>
                <w:kern w:val="0"/>
              </w:rPr>
              <w:t>2</w:t>
            </w:r>
          </w:p>
        </w:tc>
        <w:tc>
          <w:tcPr>
            <w:tcW w:w="850" w:type="dxa"/>
            <w:vAlign w:val="center"/>
          </w:tcPr>
          <w:p>
            <w:pPr>
              <w:pStyle w:val="53"/>
              <w:jc w:val="center"/>
              <w:rPr>
                <w:rFonts w:cs="Times New Roman"/>
                <w:kern w:val="0"/>
              </w:rPr>
            </w:pPr>
            <w:r>
              <w:rPr>
                <w:rFonts w:cs="Times New Roman"/>
                <w:kern w:val="0"/>
              </w:rPr>
              <w:t>0.4</w:t>
            </w:r>
          </w:p>
        </w:tc>
        <w:tc>
          <w:tcPr>
            <w:tcW w:w="851" w:type="dxa"/>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849" w:type="dxa"/>
          </w:tcPr>
          <w:p>
            <w:pPr>
              <w:jc w:val="center"/>
              <w:rPr>
                <w:rFonts w:ascii="Times New Roman" w:hAnsi="Times New Roman" w:cs="Times New Roman"/>
                <w:color w:val="000000"/>
                <w:szCs w:val="21"/>
              </w:rPr>
            </w:pPr>
            <w:r>
              <w:rPr>
                <w:rFonts w:ascii="Times New Roman" w:hAnsi="Times New Roman" w:cs="Times New Roman"/>
                <w:color w:val="000000"/>
                <w:szCs w:val="21"/>
              </w:rPr>
              <w:t>0.00</w:t>
            </w:r>
          </w:p>
        </w:tc>
      </w:tr>
      <w:bookmarkEnd w:id="35"/>
    </w:tbl>
    <w:p/>
    <w:p>
      <w:pPr>
        <w:pStyle w:val="67"/>
        <w:spacing w:before="156" w:after="156"/>
        <w:ind w:left="240"/>
      </w:pPr>
      <w:bookmarkStart w:id="36" w:name="_Toc406677041"/>
      <w:r>
        <w:rPr>
          <w:rFonts w:hint="eastAsia"/>
        </w:rPr>
        <w:t>2</w:t>
      </w:r>
      <w:r>
        <w:t>.</w:t>
      </w:r>
      <w:r>
        <w:rPr>
          <w:rFonts w:hint="eastAsia"/>
        </w:rPr>
        <w:t>不同性别毕业生</w:t>
      </w:r>
      <w:bookmarkEnd w:id="36"/>
      <w:r>
        <w:rPr>
          <w:rFonts w:hint="eastAsia"/>
        </w:rPr>
        <w:t>就业率</w:t>
      </w:r>
    </w:p>
    <w:p>
      <w:pPr>
        <w:pStyle w:val="123"/>
        <w:ind w:firstLine="480"/>
      </w:pPr>
      <w:r>
        <w:rPr>
          <w:rFonts w:hint="eastAsia"/>
        </w:rPr>
        <w:t>本校201</w:t>
      </w:r>
      <w:r>
        <w:t>7</w:t>
      </w:r>
      <w:r>
        <w:rPr>
          <w:rFonts w:hint="eastAsia"/>
        </w:rPr>
        <w:t>届毕业生中男生、女生的就业率分别为</w:t>
      </w:r>
      <w:bookmarkStart w:id="37" w:name="PO_2212A"/>
      <w:bookmarkEnd w:id="37"/>
      <w:r>
        <w:t>98.85%</w:t>
      </w:r>
      <w:r>
        <w:rPr>
          <w:rFonts w:hint="eastAsia"/>
        </w:rPr>
        <w:t>和</w:t>
      </w:r>
      <w:bookmarkStart w:id="38" w:name="PO_2212B"/>
      <w:bookmarkEnd w:id="38"/>
      <w:r>
        <w:t>97.29%</w:t>
      </w:r>
      <w:r>
        <w:rPr>
          <w:rFonts w:hint="eastAsia"/>
        </w:rPr>
        <w:t>，男生就业率比女生高1.56个百分点。具体来看，</w:t>
      </w:r>
      <w:r>
        <w:t>男生</w:t>
      </w:r>
      <w:bookmarkStart w:id="39" w:name="PO_2212C"/>
      <w:bookmarkEnd w:id="39"/>
      <w:r>
        <w:rPr>
          <w:rFonts w:hint="eastAsia"/>
        </w:rPr>
        <w:t>国内升学，出国（境）留学</w:t>
      </w:r>
      <w:r>
        <w:t>的比例低于女生，而</w:t>
      </w:r>
      <w:bookmarkStart w:id="40" w:name="PO_2212D"/>
      <w:bookmarkEnd w:id="40"/>
      <w:r>
        <w:rPr>
          <w:rFonts w:hint="eastAsia"/>
        </w:rPr>
        <w:t>签署三方协议，自主创业</w:t>
      </w:r>
      <w:r>
        <w:t>的比例则高于女生。</w:t>
      </w:r>
    </w:p>
    <w:p>
      <w:pPr>
        <w:pStyle w:val="55"/>
        <w:adjustRightInd/>
        <w:snapToGrid/>
        <w:spacing w:before="312" w:after="156"/>
        <w:ind w:left="420" w:hanging="420"/>
      </w:pPr>
      <w:bookmarkStart w:id="41" w:name="PO_2212E"/>
      <w:bookmarkEnd w:id="41"/>
      <w:r>
        <w:rPr>
          <w:rFonts w:hint="eastAsia"/>
        </w:rPr>
        <w:t>不同性别毕业生毕业去向</w:t>
      </w:r>
    </w:p>
    <w:tbl>
      <w:tblPr>
        <w:tblStyle w:val="144"/>
        <w:tblW w:w="5979" w:type="dxa"/>
        <w:jc w:val="center"/>
        <w:tblInd w:w="0"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939"/>
        <w:gridCol w:w="2136"/>
        <w:gridCol w:w="696"/>
        <w:gridCol w:w="756"/>
        <w:gridCol w:w="696"/>
        <w:gridCol w:w="756"/>
      </w:tblGrid>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15" w:hRule="atLeast"/>
          <w:jc w:val="center"/>
        </w:trPr>
        <w:tc>
          <w:tcPr>
            <w:tcW w:w="939" w:type="dxa"/>
            <w:vMerge w:val="restart"/>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4BACC6" w:themeFill="accent5"/>
          </w:tcPr>
          <w:p>
            <w:pPr>
              <w:ind w:firstLine="480"/>
              <w:jc w:val="left"/>
              <w:rPr>
                <w:rFonts w:ascii="Times New Roman" w:hAnsi="Times New Roman" w:eastAsia="宋体"/>
                <w:b/>
                <w:bCs/>
                <w:color w:val="FFFFFF"/>
                <w:kern w:val="0"/>
              </w:rPr>
            </w:pPr>
          </w:p>
        </w:tc>
        <w:tc>
          <w:tcPr>
            <w:tcW w:w="2136" w:type="dxa"/>
            <w:vMerge w:val="restart"/>
            <w:tcBorders>
              <w:top w:val="single" w:color="4BACC6" w:themeColor="accent5" w:sz="4" w:space="0"/>
              <w:bottom w:val="single" w:color="4BACC6" w:themeColor="accent5" w:sz="4" w:space="0"/>
              <w:right w:val="nil"/>
              <w:insideH w:val="single" w:sz="4" w:space="0"/>
              <w:insideV w:val="nil"/>
            </w:tcBorders>
            <w:shd w:val="clear" w:color="auto" w:fill="4BACC6" w:themeFill="accent5"/>
          </w:tcPr>
          <w:p>
            <w:pPr>
              <w:jc w:val="left"/>
              <w:rPr>
                <w:rFonts w:ascii="Times New Roman" w:hAnsi="Times New Roman" w:eastAsia="宋体"/>
                <w:b/>
                <w:bCs/>
                <w:color w:val="FFFFFF"/>
                <w:kern w:val="0"/>
              </w:rPr>
            </w:pPr>
          </w:p>
        </w:tc>
        <w:tc>
          <w:tcPr>
            <w:tcW w:w="1452" w:type="dxa"/>
            <w:gridSpan w:val="2"/>
            <w:tcBorders>
              <w:top w:val="single" w:color="4BACC6" w:themeColor="accent5" w:sz="4" w:space="0"/>
              <w:bottom w:val="single" w:color="4BACC6" w:themeColor="accent5" w:sz="4" w:space="0"/>
              <w:right w:val="nil"/>
              <w:insideH w:val="single" w:sz="4" w:space="0"/>
              <w:insideV w:val="nil"/>
            </w:tcBorders>
            <w:shd w:val="clear" w:color="auto" w:fill="4BACC6" w:themeFill="accent5"/>
          </w:tcPr>
          <w:p>
            <w:pPr>
              <w:jc w:val="center"/>
              <w:rPr>
                <w:rFonts w:ascii="Times New Roman" w:hAnsi="Times New Roman" w:eastAsia="宋体"/>
                <w:b/>
                <w:bCs/>
                <w:color w:val="FFFFFF"/>
                <w:kern w:val="0"/>
              </w:rPr>
            </w:pPr>
            <w:r>
              <w:rPr>
                <w:rFonts w:hint="eastAsia" w:ascii="Times New Roman" w:hAnsi="Times New Roman" w:eastAsia="宋体"/>
                <w:b/>
                <w:bCs/>
                <w:color w:val="FFFFFF"/>
                <w:kern w:val="0"/>
              </w:rPr>
              <w:t>男生</w:t>
            </w:r>
          </w:p>
        </w:tc>
        <w:tc>
          <w:tcPr>
            <w:tcW w:w="1452" w:type="dxa"/>
            <w:gridSpan w:val="2"/>
            <w:tcBorders>
              <w:top w:val="single" w:color="4BACC6" w:themeColor="accent5" w:sz="4" w:space="0"/>
              <w:bottom w:val="single" w:color="4BACC6" w:themeColor="accent5" w:sz="4" w:space="0"/>
              <w:right w:val="single" w:color="4BACC6" w:themeColor="accent5" w:sz="4" w:space="0"/>
              <w:insideH w:val="single" w:sz="4" w:space="0"/>
              <w:insideV w:val="nil"/>
            </w:tcBorders>
            <w:shd w:val="clear" w:color="auto" w:fill="4BACC6" w:themeFill="accent5"/>
          </w:tcPr>
          <w:p>
            <w:pPr>
              <w:jc w:val="center"/>
              <w:rPr>
                <w:rFonts w:ascii="Times New Roman" w:hAnsi="Times New Roman" w:eastAsia="宋体"/>
                <w:b/>
                <w:bCs/>
                <w:color w:val="FFFFFF"/>
                <w:kern w:val="0"/>
              </w:rPr>
            </w:pPr>
            <w:r>
              <w:rPr>
                <w:rFonts w:hint="eastAsia" w:ascii="Times New Roman" w:hAnsi="Times New Roman" w:eastAsia="宋体"/>
                <w:b/>
                <w:bCs/>
                <w:color w:val="FFFFFF"/>
                <w:kern w:val="0"/>
              </w:rPr>
              <w:t>女生</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15" w:hRule="atLeast"/>
          <w:jc w:val="center"/>
        </w:trPr>
        <w:tc>
          <w:tcPr>
            <w:tcW w:w="939" w:type="dxa"/>
            <w:vMerge w:val="continue"/>
            <w:shd w:val="clear" w:color="auto" w:fill="4BACC6" w:themeFill="accent5"/>
          </w:tcPr>
          <w:p>
            <w:pPr>
              <w:rPr>
                <w:rFonts w:ascii="Times New Roman" w:hAnsi="Times New Roman" w:eastAsia="宋体"/>
                <w:b/>
                <w:bCs/>
                <w:color w:val="FFFFFF"/>
                <w:kern w:val="0"/>
              </w:rPr>
            </w:pPr>
          </w:p>
        </w:tc>
        <w:tc>
          <w:tcPr>
            <w:tcW w:w="2136" w:type="dxa"/>
            <w:vMerge w:val="continue"/>
            <w:shd w:val="clear" w:color="auto" w:fill="4BACC6" w:themeFill="accent5"/>
          </w:tcPr>
          <w:p>
            <w:pPr>
              <w:rPr>
                <w:rFonts w:ascii="Times New Roman" w:hAnsi="Times New Roman" w:eastAsia="宋体"/>
                <w:color w:val="FFFFFF"/>
                <w:kern w:val="0"/>
              </w:rPr>
            </w:pPr>
          </w:p>
        </w:tc>
        <w:tc>
          <w:tcPr>
            <w:tcW w:w="1452" w:type="dxa"/>
            <w:gridSpan w:val="2"/>
            <w:shd w:val="clear" w:color="auto" w:fill="4BACC6" w:themeFill="accent5"/>
          </w:tcPr>
          <w:p>
            <w:pPr>
              <w:pStyle w:val="123"/>
              <w:ind w:firstLine="0" w:firstLineChars="0"/>
              <w:jc w:val="center"/>
              <w:rPr>
                <w:b/>
                <w:color w:val="FFFFFF" w:themeColor="background1"/>
              </w:rPr>
            </w:pPr>
            <w:r>
              <w:rPr>
                <w:rFonts w:hint="eastAsia"/>
                <w:b/>
                <w:color w:val="FFFFFF" w:themeColor="background1"/>
              </w:rPr>
              <w:t>（N=</w:t>
            </w:r>
            <w:bookmarkStart w:id="42" w:name="PO_2212E_COL1"/>
            <w:bookmarkEnd w:id="42"/>
            <w:r>
              <w:rPr>
                <w:b/>
                <w:color w:val="FFFFFF" w:themeColor="background1"/>
              </w:rPr>
              <w:t>175</w:t>
            </w:r>
            <w:r>
              <w:rPr>
                <w:rFonts w:hint="eastAsia"/>
                <w:b/>
                <w:color w:val="FFFFFF" w:themeColor="background1"/>
              </w:rPr>
              <w:t>）</w:t>
            </w:r>
          </w:p>
        </w:tc>
        <w:tc>
          <w:tcPr>
            <w:tcW w:w="1452" w:type="dxa"/>
            <w:gridSpan w:val="2"/>
            <w:shd w:val="clear" w:color="auto" w:fill="4BACC6" w:themeFill="accent5"/>
          </w:tcPr>
          <w:p>
            <w:pPr>
              <w:pStyle w:val="123"/>
              <w:ind w:firstLine="0" w:firstLineChars="0"/>
              <w:jc w:val="center"/>
              <w:rPr>
                <w:b/>
                <w:color w:val="FFFFFF" w:themeColor="background1"/>
              </w:rPr>
            </w:pPr>
            <w:r>
              <w:rPr>
                <w:rFonts w:hint="eastAsia"/>
                <w:b/>
                <w:color w:val="FFFFFF" w:themeColor="background1"/>
              </w:rPr>
              <w:t>（N=</w:t>
            </w:r>
            <w:bookmarkStart w:id="43" w:name="PO_2212E_COL2"/>
            <w:bookmarkEnd w:id="43"/>
            <w:r>
              <w:rPr>
                <w:b/>
                <w:color w:val="FFFFFF" w:themeColor="background1"/>
              </w:rPr>
              <w:t>258</w:t>
            </w:r>
            <w:r>
              <w:rPr>
                <w:rFonts w:hint="eastAsia"/>
                <w:b/>
                <w:color w:val="FFFFFF" w:themeColor="background1"/>
              </w:rPr>
              <w:t>）</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15" w:hRule="atLeast"/>
          <w:jc w:val="center"/>
        </w:trPr>
        <w:tc>
          <w:tcPr>
            <w:tcW w:w="939" w:type="dxa"/>
            <w:vMerge w:val="continue"/>
            <w:shd w:val="clear" w:color="auto" w:fill="4BACC6" w:themeFill="accent5"/>
          </w:tcPr>
          <w:p>
            <w:pPr>
              <w:rPr>
                <w:rFonts w:ascii="Times New Roman" w:hAnsi="Times New Roman" w:eastAsia="宋体"/>
                <w:b/>
                <w:bCs/>
                <w:color w:val="FFFFFF"/>
                <w:kern w:val="0"/>
              </w:rPr>
            </w:pPr>
          </w:p>
        </w:tc>
        <w:tc>
          <w:tcPr>
            <w:tcW w:w="2136" w:type="dxa"/>
            <w:vMerge w:val="continue"/>
            <w:shd w:val="clear" w:color="auto" w:fill="4BACC6" w:themeFill="accent5"/>
          </w:tcPr>
          <w:p>
            <w:pPr>
              <w:rPr>
                <w:rFonts w:ascii="Times New Roman" w:hAnsi="Times New Roman" w:eastAsia="宋体"/>
                <w:color w:val="FFFFFF"/>
                <w:kern w:val="0"/>
              </w:rPr>
            </w:pPr>
          </w:p>
        </w:tc>
        <w:tc>
          <w:tcPr>
            <w:tcW w:w="696" w:type="dxa"/>
            <w:shd w:val="clear" w:color="auto" w:fill="4BACC6" w:themeFill="accent5"/>
          </w:tcPr>
          <w:p>
            <w:pPr>
              <w:jc w:val="center"/>
              <w:rPr>
                <w:rFonts w:ascii="Times New Roman" w:hAnsi="Times New Roman" w:eastAsia="宋体"/>
                <w:color w:val="FFFFFF"/>
                <w:kern w:val="0"/>
              </w:rPr>
            </w:pPr>
            <w:r>
              <w:rPr>
                <w:rFonts w:hint="eastAsia" w:ascii="Times New Roman" w:hAnsi="Times New Roman" w:eastAsia="宋体"/>
                <w:color w:val="FFFFFF"/>
                <w:kern w:val="0"/>
              </w:rPr>
              <w:t>人数</w:t>
            </w:r>
          </w:p>
        </w:tc>
        <w:tc>
          <w:tcPr>
            <w:tcW w:w="756" w:type="dxa"/>
            <w:shd w:val="clear" w:color="auto" w:fill="4BACC6" w:themeFill="accent5"/>
          </w:tcPr>
          <w:p>
            <w:pPr>
              <w:jc w:val="center"/>
              <w:rPr>
                <w:rFonts w:ascii="Times New Roman" w:hAnsi="Times New Roman" w:eastAsia="宋体"/>
                <w:color w:val="FFFFFF"/>
                <w:kern w:val="0"/>
              </w:rPr>
            </w:pPr>
            <w:r>
              <w:rPr>
                <w:rFonts w:ascii="Times New Roman" w:hAnsi="Times New Roman" w:eastAsia="宋体"/>
                <w:color w:val="FFFFFF"/>
                <w:kern w:val="0"/>
              </w:rPr>
              <w:t>%</w:t>
            </w:r>
          </w:p>
        </w:tc>
        <w:tc>
          <w:tcPr>
            <w:tcW w:w="696" w:type="dxa"/>
            <w:shd w:val="clear" w:color="auto" w:fill="4BACC6" w:themeFill="accent5"/>
          </w:tcPr>
          <w:p>
            <w:pPr>
              <w:jc w:val="center"/>
              <w:rPr>
                <w:rFonts w:ascii="Times New Roman" w:hAnsi="Times New Roman" w:eastAsia="宋体"/>
                <w:color w:val="FFFFFF"/>
                <w:kern w:val="0"/>
              </w:rPr>
            </w:pPr>
            <w:r>
              <w:rPr>
                <w:rFonts w:hint="eastAsia" w:ascii="Times New Roman" w:hAnsi="Times New Roman" w:eastAsia="宋体"/>
                <w:color w:val="FFFFFF"/>
                <w:kern w:val="0"/>
              </w:rPr>
              <w:t>人数</w:t>
            </w:r>
          </w:p>
        </w:tc>
        <w:tc>
          <w:tcPr>
            <w:tcW w:w="756" w:type="dxa"/>
            <w:shd w:val="clear" w:color="auto" w:fill="4BACC6" w:themeFill="accent5"/>
          </w:tcPr>
          <w:p>
            <w:pPr>
              <w:jc w:val="center"/>
              <w:rPr>
                <w:rFonts w:ascii="Times New Roman" w:hAnsi="Times New Roman" w:eastAsia="宋体"/>
                <w:color w:val="FFFFFF"/>
                <w:kern w:val="0"/>
              </w:rPr>
            </w:pPr>
            <w:r>
              <w:rPr>
                <w:rFonts w:hint="eastAsia" w:ascii="Times New Roman" w:hAnsi="Times New Roman" w:eastAsia="宋体"/>
                <w:color w:val="FFFFFF"/>
                <w:kern w:val="0"/>
              </w:rPr>
              <w:t>%</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restart"/>
            <w:shd w:val="clear" w:color="auto" w:fill="FFFFFF" w:themeFill="background1"/>
            <w:vAlign w:val="center"/>
          </w:tcPr>
          <w:p>
            <w:pPr>
              <w:jc w:val="center"/>
              <w:rPr>
                <w:rFonts w:ascii="Times New Roman" w:hAnsi="Times New Roman" w:eastAsia="宋体"/>
                <w:b/>
                <w:bCs/>
                <w:kern w:val="0"/>
              </w:rPr>
            </w:pPr>
            <w:r>
              <w:rPr>
                <w:rFonts w:hint="eastAsia" w:ascii="Times New Roman" w:hAnsi="Times New Roman" w:eastAsia="宋体"/>
                <w:b/>
                <w:bCs/>
                <w:kern w:val="0"/>
              </w:rPr>
              <w:t>就业</w:t>
            </w:r>
          </w:p>
        </w:tc>
        <w:tc>
          <w:tcPr>
            <w:tcW w:w="2136"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签署三方协议</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34</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19.43</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40</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15.50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tcPr>
          <w:p>
            <w:pPr>
              <w:rPr>
                <w:rFonts w:ascii="Times New Roman" w:hAnsi="Times New Roman" w:eastAsia="宋体"/>
                <w:kern w:val="0"/>
              </w:rPr>
            </w:pPr>
            <w:r>
              <w:rPr>
                <w:rFonts w:hint="eastAsia" w:ascii="Times New Roman" w:hAnsi="Times New Roman" w:eastAsia="宋体"/>
                <w:kern w:val="0"/>
              </w:rPr>
              <w:t>签订劳动合同</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29</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16.57</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33</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12.79</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单位开具用人证明</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13</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7.43</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17</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6.59</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tcPr>
          <w:p>
            <w:pPr>
              <w:rPr>
                <w:rFonts w:ascii="Times New Roman" w:hAnsi="Times New Roman" w:eastAsia="宋体"/>
                <w:kern w:val="0"/>
              </w:rPr>
            </w:pPr>
            <w:r>
              <w:rPr>
                <w:rFonts w:hint="eastAsia" w:ascii="Times New Roman" w:hAnsi="Times New Roman" w:eastAsia="宋体"/>
                <w:kern w:val="0"/>
              </w:rPr>
              <w:t>自由职业</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79</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45.14</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117</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45.35</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自主创业</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8</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4.57</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5</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1.94</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restart"/>
            <w:shd w:val="clear" w:color="auto" w:fill="FFFFFF" w:themeFill="background1"/>
            <w:vAlign w:val="center"/>
          </w:tcPr>
          <w:p>
            <w:pPr>
              <w:jc w:val="center"/>
              <w:rPr>
                <w:rFonts w:ascii="Times New Roman" w:hAnsi="Times New Roman" w:eastAsia="宋体"/>
                <w:b/>
                <w:bCs/>
                <w:kern w:val="0"/>
              </w:rPr>
            </w:pPr>
            <w:r>
              <w:rPr>
                <w:rFonts w:hint="eastAsia" w:ascii="Times New Roman" w:hAnsi="Times New Roman" w:eastAsia="宋体"/>
                <w:b/>
                <w:bCs/>
                <w:kern w:val="0"/>
              </w:rPr>
              <w:t>深造</w:t>
            </w:r>
          </w:p>
        </w:tc>
        <w:tc>
          <w:tcPr>
            <w:tcW w:w="2136" w:type="dxa"/>
          </w:tcPr>
          <w:p>
            <w:pPr>
              <w:rPr>
                <w:rFonts w:ascii="Times New Roman" w:hAnsi="Times New Roman" w:eastAsia="宋体"/>
                <w:kern w:val="0"/>
              </w:rPr>
            </w:pPr>
            <w:r>
              <w:rPr>
                <w:rFonts w:hint="eastAsia" w:ascii="Times New Roman" w:hAnsi="Times New Roman" w:eastAsia="宋体"/>
                <w:kern w:val="0"/>
              </w:rPr>
              <w:t>国内升学</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8</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4.57</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31</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12.02</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出国（境）留学</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2</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1.14</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8</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3.10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restart"/>
            <w:shd w:val="clear" w:color="auto" w:fill="FFFFFF" w:themeFill="background1"/>
            <w:vAlign w:val="center"/>
          </w:tcPr>
          <w:p>
            <w:pPr>
              <w:jc w:val="center"/>
              <w:rPr>
                <w:rFonts w:ascii="Times New Roman" w:hAnsi="Times New Roman" w:eastAsia="宋体"/>
                <w:b/>
                <w:bCs/>
                <w:kern w:val="0"/>
              </w:rPr>
            </w:pPr>
            <w:r>
              <w:rPr>
                <w:rFonts w:hint="eastAsia" w:ascii="Times New Roman" w:hAnsi="Times New Roman" w:eastAsia="宋体"/>
                <w:b/>
                <w:bCs/>
                <w:kern w:val="0"/>
              </w:rPr>
              <w:t>未就业</w:t>
            </w:r>
          </w:p>
        </w:tc>
        <w:tc>
          <w:tcPr>
            <w:tcW w:w="2136" w:type="dxa"/>
          </w:tcPr>
          <w:p>
            <w:pPr>
              <w:rPr>
                <w:rFonts w:ascii="Times New Roman" w:hAnsi="Times New Roman" w:eastAsia="宋体"/>
                <w:kern w:val="0"/>
              </w:rPr>
            </w:pPr>
            <w:r>
              <w:rPr>
                <w:rFonts w:hint="eastAsia" w:ascii="Times New Roman" w:hAnsi="Times New Roman" w:eastAsia="宋体"/>
                <w:kern w:val="0"/>
              </w:rPr>
              <w:t>拟升学不就业</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0.57</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4</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1.55</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拟出国不就业</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0.57</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3</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1.16</w:t>
            </w:r>
          </w:p>
        </w:tc>
      </w:tr>
    </w:tbl>
    <w:p/>
    <w:p>
      <w:pPr>
        <w:spacing w:line="360" w:lineRule="auto"/>
        <w:ind w:firstLine="480" w:firstLineChars="200"/>
        <w:rPr>
          <w:rFonts w:ascii="Times New Roman" w:hAnsi="Times New Roman" w:cs="Times New Roman"/>
          <w:szCs w:val="24"/>
        </w:rPr>
      </w:pPr>
      <w:bookmarkStart w:id="44" w:name="_Hlk500775482"/>
      <w:r>
        <w:rPr>
          <w:rFonts w:ascii="Times New Roman" w:hAnsi="Times New Roman" w:cs="Times New Roman"/>
          <w:szCs w:val="24"/>
        </w:rPr>
        <w:t>与2016届相比而言，2017届毕业生中男生、女生的就业率分别</w:t>
      </w:r>
      <w:r>
        <w:rPr>
          <w:rFonts w:hint="eastAsia" w:ascii="Times New Roman" w:hAnsi="Times New Roman" w:cs="Times New Roman"/>
          <w:szCs w:val="24"/>
        </w:rPr>
        <w:t>上升</w:t>
      </w:r>
      <w:r>
        <w:rPr>
          <w:rFonts w:ascii="Times New Roman" w:hAnsi="Times New Roman" w:cs="Times New Roman"/>
          <w:szCs w:val="24"/>
        </w:rPr>
        <w:t>了5.95和0.59个百分点。其中，2017届男</w:t>
      </w:r>
      <w:r>
        <w:rPr>
          <w:rFonts w:hint="eastAsia" w:ascii="Times New Roman" w:hAnsi="Times New Roman" w:cs="Times New Roman"/>
          <w:szCs w:val="24"/>
        </w:rPr>
        <w:t>性和女性毕业生在</w:t>
      </w:r>
      <w:r>
        <w:rPr>
          <w:rFonts w:ascii="Times New Roman" w:hAnsi="Times New Roman" w:cs="Times New Roman"/>
          <w:szCs w:val="24"/>
        </w:rPr>
        <w:t>签署三方协议、</w:t>
      </w:r>
      <w:r>
        <w:rPr>
          <w:rFonts w:hint="eastAsia" w:ascii="Times New Roman" w:hAnsi="Times New Roman" w:cs="Times New Roman"/>
          <w:szCs w:val="24"/>
        </w:rPr>
        <w:t>自主创业和</w:t>
      </w:r>
      <w:r>
        <w:rPr>
          <w:rFonts w:ascii="Times New Roman" w:hAnsi="Times New Roman" w:cs="Times New Roman"/>
          <w:szCs w:val="24"/>
        </w:rPr>
        <w:t>国内升学的比例</w:t>
      </w:r>
      <w:r>
        <w:rPr>
          <w:rFonts w:hint="eastAsia" w:ascii="Times New Roman" w:hAnsi="Times New Roman" w:cs="Times New Roman"/>
          <w:szCs w:val="24"/>
        </w:rPr>
        <w:t>皆</w:t>
      </w:r>
      <w:r>
        <w:rPr>
          <w:rFonts w:ascii="Times New Roman" w:hAnsi="Times New Roman" w:cs="Times New Roman"/>
          <w:szCs w:val="24"/>
        </w:rPr>
        <w:t>高于2016届，而出国（境）留学的</w:t>
      </w:r>
      <w:r>
        <w:rPr>
          <w:rFonts w:hint="eastAsia" w:ascii="Times New Roman" w:hAnsi="Times New Roman" w:cs="Times New Roman"/>
          <w:szCs w:val="24"/>
        </w:rPr>
        <w:t>男性和女性</w:t>
      </w:r>
      <w:r>
        <w:rPr>
          <w:rFonts w:ascii="Times New Roman" w:hAnsi="Times New Roman" w:cs="Times New Roman"/>
          <w:szCs w:val="24"/>
        </w:rPr>
        <w:t>毕业生比例</w:t>
      </w:r>
      <w:r>
        <w:rPr>
          <w:rFonts w:hint="eastAsia" w:ascii="Times New Roman" w:hAnsi="Times New Roman" w:cs="Times New Roman"/>
          <w:szCs w:val="24"/>
        </w:rPr>
        <w:t>皆</w:t>
      </w:r>
      <w:r>
        <w:rPr>
          <w:rFonts w:ascii="Times New Roman" w:hAnsi="Times New Roman" w:cs="Times New Roman"/>
          <w:szCs w:val="24"/>
        </w:rPr>
        <w:t>低于2016届。</w:t>
      </w:r>
    </w:p>
    <w:p>
      <w:pPr>
        <w:pStyle w:val="55"/>
        <w:adjustRightInd/>
        <w:snapToGrid/>
        <w:spacing w:before="312" w:after="156"/>
        <w:ind w:left="420" w:hanging="420"/>
      </w:pPr>
      <w:r>
        <w:rPr>
          <w:rFonts w:hint="eastAsia"/>
        </w:rPr>
        <w:t>2</w:t>
      </w:r>
      <w:r>
        <w:t>016</w:t>
      </w:r>
      <w:r>
        <w:rPr>
          <w:rFonts w:hint="eastAsia"/>
        </w:rPr>
        <w:t>届与2</w:t>
      </w:r>
      <w:r>
        <w:t>017</w:t>
      </w:r>
      <w:r>
        <w:rPr>
          <w:rFonts w:hint="eastAsia"/>
        </w:rPr>
        <w:t>届不同性别毕业生毕业去向比较情况</w:t>
      </w:r>
    </w:p>
    <w:tbl>
      <w:tblPr>
        <w:tblStyle w:val="144"/>
        <w:tblW w:w="8739" w:type="dxa"/>
        <w:jc w:val="center"/>
        <w:tblInd w:w="0"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939"/>
        <w:gridCol w:w="2136"/>
        <w:gridCol w:w="696"/>
        <w:gridCol w:w="684"/>
        <w:gridCol w:w="696"/>
        <w:gridCol w:w="684"/>
        <w:gridCol w:w="696"/>
        <w:gridCol w:w="756"/>
        <w:gridCol w:w="696"/>
        <w:gridCol w:w="756"/>
      </w:tblGrid>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15" w:hRule="atLeast"/>
          <w:jc w:val="center"/>
        </w:trPr>
        <w:tc>
          <w:tcPr>
            <w:tcW w:w="939" w:type="dxa"/>
            <w:vMerge w:val="restart"/>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4BACC6" w:themeFill="accent5"/>
          </w:tcPr>
          <w:p>
            <w:pPr>
              <w:ind w:firstLine="480"/>
              <w:jc w:val="left"/>
              <w:rPr>
                <w:rFonts w:ascii="Times New Roman" w:hAnsi="Times New Roman" w:eastAsia="宋体"/>
                <w:b/>
                <w:bCs/>
                <w:color w:val="FFFFFF"/>
                <w:kern w:val="0"/>
              </w:rPr>
            </w:pPr>
          </w:p>
        </w:tc>
        <w:tc>
          <w:tcPr>
            <w:tcW w:w="2136" w:type="dxa"/>
            <w:vMerge w:val="restart"/>
            <w:tcBorders>
              <w:top w:val="single" w:color="4BACC6" w:themeColor="accent5" w:sz="4" w:space="0"/>
              <w:bottom w:val="single" w:color="4BACC6" w:themeColor="accent5" w:sz="4" w:space="0"/>
              <w:right w:val="nil"/>
              <w:insideH w:val="single" w:sz="4" w:space="0"/>
              <w:insideV w:val="nil"/>
            </w:tcBorders>
            <w:shd w:val="clear" w:color="auto" w:fill="4BACC6" w:themeFill="accent5"/>
          </w:tcPr>
          <w:p>
            <w:pPr>
              <w:jc w:val="left"/>
              <w:rPr>
                <w:rFonts w:ascii="Times New Roman" w:hAnsi="Times New Roman" w:eastAsia="宋体"/>
                <w:b/>
                <w:bCs/>
                <w:color w:val="FFFFFF"/>
                <w:kern w:val="0"/>
              </w:rPr>
            </w:pPr>
          </w:p>
        </w:tc>
        <w:tc>
          <w:tcPr>
            <w:tcW w:w="2760" w:type="dxa"/>
            <w:gridSpan w:val="4"/>
            <w:tcBorders>
              <w:top w:val="single" w:color="4BACC6" w:themeColor="accent5" w:sz="4" w:space="0"/>
              <w:bottom w:val="single" w:color="4BACC6" w:themeColor="accent5" w:sz="4" w:space="0"/>
              <w:right w:val="nil"/>
              <w:insideH w:val="single" w:sz="4" w:space="0"/>
              <w:insideV w:val="nil"/>
            </w:tcBorders>
            <w:shd w:val="clear" w:color="auto" w:fill="4BACC6" w:themeFill="accent5"/>
          </w:tcPr>
          <w:p>
            <w:pPr>
              <w:jc w:val="center"/>
              <w:rPr>
                <w:rFonts w:ascii="Times New Roman" w:hAnsi="Times New Roman" w:eastAsia="宋体"/>
                <w:b/>
                <w:bCs/>
                <w:color w:val="FFFFFF"/>
                <w:kern w:val="0"/>
              </w:rPr>
            </w:pPr>
            <w:r>
              <w:rPr>
                <w:rFonts w:hint="eastAsia" w:ascii="Times New Roman" w:hAnsi="Times New Roman" w:eastAsia="宋体"/>
                <w:b/>
                <w:bCs/>
                <w:color w:val="FFFFFF"/>
                <w:kern w:val="0"/>
              </w:rPr>
              <w:t>2</w:t>
            </w:r>
            <w:r>
              <w:rPr>
                <w:rFonts w:ascii="Times New Roman" w:hAnsi="Times New Roman" w:eastAsia="宋体"/>
                <w:b/>
                <w:bCs/>
                <w:color w:val="FFFFFF"/>
                <w:kern w:val="0"/>
              </w:rPr>
              <w:t>016</w:t>
            </w:r>
            <w:r>
              <w:rPr>
                <w:rFonts w:hint="eastAsia" w:ascii="Times New Roman" w:hAnsi="Times New Roman" w:eastAsia="宋体"/>
                <w:b/>
                <w:bCs/>
                <w:color w:val="FFFFFF"/>
                <w:kern w:val="0"/>
              </w:rPr>
              <w:t>届</w:t>
            </w:r>
          </w:p>
        </w:tc>
        <w:tc>
          <w:tcPr>
            <w:tcW w:w="2904" w:type="dxa"/>
            <w:gridSpan w:val="4"/>
            <w:tcBorders>
              <w:top w:val="single" w:color="4BACC6" w:themeColor="accent5" w:sz="4" w:space="0"/>
              <w:bottom w:val="single" w:color="4BACC6" w:themeColor="accent5" w:sz="4" w:space="0"/>
              <w:right w:val="single" w:color="4BACC6" w:themeColor="accent5" w:sz="4" w:space="0"/>
              <w:insideH w:val="single" w:sz="4" w:space="0"/>
              <w:insideV w:val="nil"/>
            </w:tcBorders>
            <w:shd w:val="clear" w:color="auto" w:fill="4BACC6" w:themeFill="accent5"/>
          </w:tcPr>
          <w:p>
            <w:pPr>
              <w:jc w:val="center"/>
              <w:rPr>
                <w:rFonts w:ascii="Times New Roman" w:hAnsi="Times New Roman" w:eastAsia="宋体"/>
                <w:b/>
                <w:bCs/>
                <w:color w:val="FFFFFF"/>
                <w:kern w:val="0"/>
              </w:rPr>
            </w:pPr>
            <w:r>
              <w:rPr>
                <w:rFonts w:hint="eastAsia" w:ascii="Times New Roman" w:hAnsi="Times New Roman" w:eastAsia="宋体"/>
                <w:b/>
                <w:bCs/>
                <w:color w:val="FFFFFF"/>
                <w:kern w:val="0"/>
              </w:rPr>
              <w:t>2</w:t>
            </w:r>
            <w:r>
              <w:rPr>
                <w:rFonts w:ascii="Times New Roman" w:hAnsi="Times New Roman" w:eastAsia="宋体"/>
                <w:b/>
                <w:bCs/>
                <w:color w:val="FFFFFF"/>
                <w:kern w:val="0"/>
              </w:rPr>
              <w:t>017</w:t>
            </w:r>
            <w:r>
              <w:rPr>
                <w:rFonts w:hint="eastAsia" w:ascii="Times New Roman" w:hAnsi="Times New Roman" w:eastAsia="宋体"/>
                <w:b/>
                <w:bCs/>
                <w:color w:val="FFFFFF"/>
                <w:kern w:val="0"/>
              </w:rPr>
              <w:t>届</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15" w:hRule="atLeast"/>
          <w:jc w:val="center"/>
        </w:trPr>
        <w:tc>
          <w:tcPr>
            <w:tcW w:w="939" w:type="dxa"/>
            <w:vMerge w:val="continue"/>
            <w:shd w:val="clear" w:color="auto" w:fill="DAEEF3" w:themeFill="accent5" w:themeFillTint="33"/>
          </w:tcPr>
          <w:p>
            <w:pPr>
              <w:ind w:firstLine="480"/>
              <w:jc w:val="left"/>
              <w:rPr>
                <w:rFonts w:ascii="Times New Roman" w:hAnsi="Times New Roman" w:eastAsia="宋体"/>
                <w:b/>
                <w:bCs/>
                <w:color w:val="FFFFFF"/>
                <w:kern w:val="0"/>
              </w:rPr>
            </w:pPr>
          </w:p>
        </w:tc>
        <w:tc>
          <w:tcPr>
            <w:tcW w:w="2136" w:type="dxa"/>
            <w:vMerge w:val="continue"/>
            <w:shd w:val="clear" w:color="auto" w:fill="DAEEF3" w:themeFill="accent5" w:themeFillTint="33"/>
          </w:tcPr>
          <w:p>
            <w:pPr>
              <w:jc w:val="left"/>
              <w:rPr>
                <w:rFonts w:ascii="Times New Roman" w:hAnsi="Times New Roman" w:eastAsia="宋体"/>
                <w:color w:val="FFFFFF"/>
                <w:kern w:val="0"/>
              </w:rPr>
            </w:pPr>
          </w:p>
        </w:tc>
        <w:tc>
          <w:tcPr>
            <w:tcW w:w="1380" w:type="dxa"/>
            <w:gridSpan w:val="2"/>
            <w:shd w:val="clear" w:color="auto" w:fill="4BACC6"/>
          </w:tcPr>
          <w:p>
            <w:pPr>
              <w:jc w:val="center"/>
              <w:rPr>
                <w:rFonts w:ascii="Times New Roman" w:hAnsi="Times New Roman" w:eastAsia="宋体"/>
                <w:b/>
                <w:color w:val="FFFFFF"/>
                <w:kern w:val="0"/>
              </w:rPr>
            </w:pPr>
            <w:r>
              <w:rPr>
                <w:rFonts w:hint="eastAsia" w:ascii="Times New Roman" w:hAnsi="Times New Roman" w:eastAsia="宋体"/>
                <w:b/>
                <w:color w:val="FFFFFF"/>
                <w:kern w:val="0"/>
              </w:rPr>
              <w:t>男生</w:t>
            </w:r>
          </w:p>
        </w:tc>
        <w:tc>
          <w:tcPr>
            <w:tcW w:w="1380" w:type="dxa"/>
            <w:gridSpan w:val="2"/>
            <w:shd w:val="clear" w:color="auto" w:fill="4BACC6"/>
          </w:tcPr>
          <w:p>
            <w:pPr>
              <w:jc w:val="center"/>
              <w:rPr>
                <w:rFonts w:ascii="Times New Roman" w:hAnsi="Times New Roman" w:eastAsia="宋体"/>
                <w:b/>
                <w:color w:val="FFFFFF"/>
                <w:kern w:val="0"/>
              </w:rPr>
            </w:pPr>
            <w:r>
              <w:rPr>
                <w:rFonts w:hint="eastAsia" w:ascii="Times New Roman" w:hAnsi="Times New Roman" w:eastAsia="宋体"/>
                <w:b/>
                <w:color w:val="FFFFFF"/>
                <w:kern w:val="0"/>
              </w:rPr>
              <w:t>女生</w:t>
            </w:r>
          </w:p>
        </w:tc>
        <w:tc>
          <w:tcPr>
            <w:tcW w:w="1452" w:type="dxa"/>
            <w:gridSpan w:val="2"/>
            <w:shd w:val="clear" w:color="auto" w:fill="4BACC6"/>
          </w:tcPr>
          <w:p>
            <w:pPr>
              <w:jc w:val="center"/>
              <w:rPr>
                <w:rFonts w:ascii="Times New Roman" w:hAnsi="Times New Roman" w:eastAsia="宋体"/>
                <w:b/>
                <w:color w:val="FFFFFF"/>
                <w:kern w:val="0"/>
              </w:rPr>
            </w:pPr>
            <w:r>
              <w:rPr>
                <w:rFonts w:hint="eastAsia" w:ascii="Times New Roman" w:hAnsi="Times New Roman" w:eastAsia="宋体"/>
                <w:b/>
                <w:color w:val="FFFFFF"/>
                <w:kern w:val="0"/>
              </w:rPr>
              <w:t>男生</w:t>
            </w:r>
          </w:p>
        </w:tc>
        <w:tc>
          <w:tcPr>
            <w:tcW w:w="1452" w:type="dxa"/>
            <w:gridSpan w:val="2"/>
            <w:shd w:val="clear" w:color="auto" w:fill="4BACC6"/>
          </w:tcPr>
          <w:p>
            <w:pPr>
              <w:jc w:val="center"/>
              <w:rPr>
                <w:rFonts w:ascii="Times New Roman" w:hAnsi="Times New Roman" w:eastAsia="宋体"/>
                <w:b/>
                <w:color w:val="FFFFFF"/>
                <w:kern w:val="0"/>
              </w:rPr>
            </w:pPr>
            <w:r>
              <w:rPr>
                <w:rFonts w:hint="eastAsia" w:ascii="Times New Roman" w:hAnsi="Times New Roman" w:eastAsia="宋体"/>
                <w:b/>
                <w:color w:val="FFFFFF"/>
                <w:kern w:val="0"/>
              </w:rPr>
              <w:t>女生</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15" w:hRule="atLeast"/>
          <w:jc w:val="center"/>
        </w:trPr>
        <w:tc>
          <w:tcPr>
            <w:tcW w:w="939" w:type="dxa"/>
            <w:vMerge w:val="continue"/>
            <w:shd w:val="clear" w:color="auto" w:fill="4BACC6" w:themeFill="accent5"/>
          </w:tcPr>
          <w:p>
            <w:pPr>
              <w:rPr>
                <w:rFonts w:ascii="Times New Roman" w:hAnsi="Times New Roman" w:eastAsia="宋体"/>
                <w:b/>
                <w:bCs/>
                <w:color w:val="FFFFFF"/>
                <w:kern w:val="0"/>
              </w:rPr>
            </w:pPr>
          </w:p>
        </w:tc>
        <w:tc>
          <w:tcPr>
            <w:tcW w:w="2136" w:type="dxa"/>
            <w:vMerge w:val="continue"/>
            <w:shd w:val="clear" w:color="auto" w:fill="4BACC6" w:themeFill="accent5"/>
          </w:tcPr>
          <w:p>
            <w:pPr>
              <w:rPr>
                <w:rFonts w:ascii="Times New Roman" w:hAnsi="Times New Roman" w:eastAsia="宋体"/>
                <w:color w:val="FFFFFF"/>
                <w:kern w:val="0"/>
              </w:rPr>
            </w:pPr>
          </w:p>
        </w:tc>
        <w:tc>
          <w:tcPr>
            <w:tcW w:w="1380" w:type="dxa"/>
            <w:gridSpan w:val="2"/>
            <w:shd w:val="clear" w:color="auto" w:fill="4BACC6" w:themeFill="accent5"/>
            <w:vAlign w:val="center"/>
          </w:tcPr>
          <w:p>
            <w:pPr>
              <w:pStyle w:val="53"/>
              <w:jc w:val="center"/>
              <w:rPr>
                <w:b/>
                <w:color w:val="FFFFFF" w:themeColor="background1"/>
                <w:sz w:val="24"/>
                <w:szCs w:val="24"/>
              </w:rPr>
            </w:pPr>
            <w:r>
              <w:rPr>
                <w:rFonts w:hint="eastAsia"/>
                <w:b/>
                <w:color w:val="FFFFFF" w:themeColor="background1"/>
                <w:sz w:val="24"/>
                <w:szCs w:val="24"/>
              </w:rPr>
              <w:t>（N=</w:t>
            </w:r>
            <w:r>
              <w:rPr>
                <w:b/>
                <w:color w:val="FFFFFF" w:themeColor="background1"/>
                <w:sz w:val="24"/>
                <w:szCs w:val="24"/>
              </w:rPr>
              <w:t>221</w:t>
            </w:r>
            <w:r>
              <w:rPr>
                <w:rFonts w:hint="eastAsia"/>
                <w:b/>
                <w:color w:val="FFFFFF" w:themeColor="background1"/>
                <w:sz w:val="24"/>
                <w:szCs w:val="24"/>
              </w:rPr>
              <w:t>）</w:t>
            </w:r>
          </w:p>
        </w:tc>
        <w:tc>
          <w:tcPr>
            <w:tcW w:w="1380" w:type="dxa"/>
            <w:gridSpan w:val="2"/>
            <w:shd w:val="clear" w:color="auto" w:fill="4BACC6" w:themeFill="accent5"/>
            <w:vAlign w:val="center"/>
          </w:tcPr>
          <w:p>
            <w:pPr>
              <w:pStyle w:val="53"/>
              <w:jc w:val="center"/>
              <w:rPr>
                <w:b/>
                <w:color w:val="FFFFFF" w:themeColor="background1"/>
                <w:sz w:val="24"/>
                <w:szCs w:val="24"/>
              </w:rPr>
            </w:pPr>
            <w:r>
              <w:rPr>
                <w:rFonts w:hint="eastAsia"/>
                <w:b/>
                <w:color w:val="FFFFFF" w:themeColor="background1"/>
                <w:sz w:val="24"/>
                <w:szCs w:val="24"/>
              </w:rPr>
              <w:t>（N=</w:t>
            </w:r>
            <w:r>
              <w:rPr>
                <w:b/>
                <w:color w:val="FFFFFF" w:themeColor="background1"/>
                <w:sz w:val="24"/>
                <w:szCs w:val="24"/>
              </w:rPr>
              <w:t>349</w:t>
            </w:r>
            <w:r>
              <w:rPr>
                <w:rFonts w:hint="eastAsia"/>
                <w:b/>
                <w:color w:val="FFFFFF" w:themeColor="background1"/>
                <w:sz w:val="24"/>
                <w:szCs w:val="24"/>
              </w:rPr>
              <w:t>）</w:t>
            </w:r>
          </w:p>
        </w:tc>
        <w:tc>
          <w:tcPr>
            <w:tcW w:w="1452" w:type="dxa"/>
            <w:gridSpan w:val="2"/>
            <w:shd w:val="clear" w:color="auto" w:fill="4BACC6" w:themeFill="accent5"/>
          </w:tcPr>
          <w:p>
            <w:pPr>
              <w:pStyle w:val="123"/>
              <w:ind w:firstLine="0" w:firstLineChars="0"/>
              <w:jc w:val="center"/>
              <w:rPr>
                <w:b/>
                <w:color w:val="FFFFFF" w:themeColor="background1"/>
              </w:rPr>
            </w:pPr>
            <w:r>
              <w:rPr>
                <w:rFonts w:hint="eastAsia"/>
                <w:b/>
                <w:color w:val="FFFFFF" w:themeColor="background1"/>
              </w:rPr>
              <w:t>（N=</w:t>
            </w:r>
            <w:r>
              <w:rPr>
                <w:b/>
                <w:color w:val="FFFFFF" w:themeColor="background1"/>
              </w:rPr>
              <w:t>175</w:t>
            </w:r>
            <w:r>
              <w:rPr>
                <w:rFonts w:hint="eastAsia"/>
                <w:b/>
                <w:color w:val="FFFFFF" w:themeColor="background1"/>
              </w:rPr>
              <w:t>）</w:t>
            </w:r>
          </w:p>
        </w:tc>
        <w:tc>
          <w:tcPr>
            <w:tcW w:w="1452" w:type="dxa"/>
            <w:gridSpan w:val="2"/>
            <w:shd w:val="clear" w:color="auto" w:fill="4BACC6" w:themeFill="accent5"/>
          </w:tcPr>
          <w:p>
            <w:pPr>
              <w:pStyle w:val="123"/>
              <w:ind w:firstLine="0" w:firstLineChars="0"/>
              <w:jc w:val="center"/>
              <w:rPr>
                <w:b/>
                <w:color w:val="FFFFFF" w:themeColor="background1"/>
              </w:rPr>
            </w:pPr>
            <w:r>
              <w:rPr>
                <w:rFonts w:hint="eastAsia"/>
                <w:b/>
                <w:color w:val="FFFFFF" w:themeColor="background1"/>
              </w:rPr>
              <w:t>（N=</w:t>
            </w:r>
            <w:r>
              <w:rPr>
                <w:b/>
                <w:color w:val="FFFFFF" w:themeColor="background1"/>
              </w:rPr>
              <w:t>258</w:t>
            </w:r>
            <w:r>
              <w:rPr>
                <w:rFonts w:hint="eastAsia"/>
                <w:b/>
                <w:color w:val="FFFFFF" w:themeColor="background1"/>
              </w:rPr>
              <w:t>）</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15" w:hRule="atLeast"/>
          <w:jc w:val="center"/>
        </w:trPr>
        <w:tc>
          <w:tcPr>
            <w:tcW w:w="939" w:type="dxa"/>
            <w:vMerge w:val="continue"/>
            <w:shd w:val="clear" w:color="auto" w:fill="4BACC6" w:themeFill="accent5"/>
          </w:tcPr>
          <w:p>
            <w:pPr>
              <w:rPr>
                <w:rFonts w:ascii="Times New Roman" w:hAnsi="Times New Roman" w:eastAsia="宋体"/>
                <w:b/>
                <w:bCs/>
                <w:color w:val="FFFFFF"/>
                <w:kern w:val="0"/>
              </w:rPr>
            </w:pPr>
          </w:p>
        </w:tc>
        <w:tc>
          <w:tcPr>
            <w:tcW w:w="2136" w:type="dxa"/>
            <w:vMerge w:val="continue"/>
            <w:shd w:val="clear" w:color="auto" w:fill="4BACC6" w:themeFill="accent5"/>
          </w:tcPr>
          <w:p>
            <w:pPr>
              <w:rPr>
                <w:rFonts w:ascii="Times New Roman" w:hAnsi="Times New Roman" w:eastAsia="宋体"/>
                <w:color w:val="FFFFFF"/>
                <w:kern w:val="0"/>
              </w:rPr>
            </w:pPr>
          </w:p>
        </w:tc>
        <w:tc>
          <w:tcPr>
            <w:tcW w:w="696" w:type="dxa"/>
            <w:shd w:val="clear" w:color="auto" w:fill="4BACC6" w:themeFill="accent5"/>
          </w:tcPr>
          <w:p>
            <w:pPr>
              <w:jc w:val="center"/>
              <w:rPr>
                <w:rFonts w:ascii="Times New Roman" w:hAnsi="Times New Roman" w:eastAsia="宋体"/>
                <w:color w:val="FFFFFF"/>
                <w:kern w:val="0"/>
              </w:rPr>
            </w:pPr>
            <w:r>
              <w:rPr>
                <w:rFonts w:hint="eastAsia" w:ascii="Times New Roman" w:hAnsi="Times New Roman" w:eastAsia="宋体"/>
                <w:color w:val="FFFFFF"/>
                <w:kern w:val="0"/>
              </w:rPr>
              <w:t>人数</w:t>
            </w:r>
          </w:p>
        </w:tc>
        <w:tc>
          <w:tcPr>
            <w:tcW w:w="684" w:type="dxa"/>
            <w:shd w:val="clear" w:color="auto" w:fill="4BACC6" w:themeFill="accent5"/>
          </w:tcPr>
          <w:p>
            <w:pPr>
              <w:jc w:val="center"/>
              <w:rPr>
                <w:rFonts w:ascii="Times New Roman" w:hAnsi="Times New Roman" w:eastAsia="宋体"/>
                <w:color w:val="FFFFFF"/>
                <w:kern w:val="0"/>
              </w:rPr>
            </w:pPr>
            <w:r>
              <w:rPr>
                <w:rFonts w:ascii="Times New Roman" w:hAnsi="Times New Roman" w:eastAsia="宋体"/>
                <w:color w:val="FFFFFF"/>
                <w:kern w:val="0"/>
              </w:rPr>
              <w:t>%</w:t>
            </w:r>
          </w:p>
        </w:tc>
        <w:tc>
          <w:tcPr>
            <w:tcW w:w="696" w:type="dxa"/>
            <w:shd w:val="clear" w:color="auto" w:fill="4BACC6" w:themeFill="accent5"/>
          </w:tcPr>
          <w:p>
            <w:pPr>
              <w:jc w:val="center"/>
              <w:rPr>
                <w:rFonts w:ascii="Times New Roman" w:hAnsi="Times New Roman" w:eastAsia="宋体"/>
                <w:color w:val="FFFFFF"/>
                <w:kern w:val="0"/>
              </w:rPr>
            </w:pPr>
            <w:r>
              <w:rPr>
                <w:rFonts w:hint="eastAsia" w:ascii="Times New Roman" w:hAnsi="Times New Roman" w:eastAsia="宋体"/>
                <w:color w:val="FFFFFF"/>
                <w:kern w:val="0"/>
              </w:rPr>
              <w:t>人数</w:t>
            </w:r>
          </w:p>
        </w:tc>
        <w:tc>
          <w:tcPr>
            <w:tcW w:w="684" w:type="dxa"/>
            <w:shd w:val="clear" w:color="auto" w:fill="4BACC6" w:themeFill="accent5"/>
          </w:tcPr>
          <w:p>
            <w:pPr>
              <w:jc w:val="center"/>
              <w:rPr>
                <w:rFonts w:ascii="Times New Roman" w:hAnsi="Times New Roman" w:eastAsia="宋体"/>
                <w:color w:val="FFFFFF"/>
                <w:kern w:val="0"/>
              </w:rPr>
            </w:pPr>
            <w:r>
              <w:rPr>
                <w:rFonts w:hint="eastAsia" w:ascii="Times New Roman" w:hAnsi="Times New Roman" w:eastAsia="宋体"/>
                <w:color w:val="FFFFFF"/>
                <w:kern w:val="0"/>
              </w:rPr>
              <w:t>%</w:t>
            </w:r>
          </w:p>
        </w:tc>
        <w:tc>
          <w:tcPr>
            <w:tcW w:w="696" w:type="dxa"/>
            <w:shd w:val="clear" w:color="auto" w:fill="4BACC6" w:themeFill="accent5"/>
          </w:tcPr>
          <w:p>
            <w:pPr>
              <w:jc w:val="center"/>
              <w:rPr>
                <w:rFonts w:ascii="Times New Roman" w:hAnsi="Times New Roman" w:eastAsia="宋体"/>
                <w:color w:val="FFFFFF"/>
                <w:kern w:val="0"/>
              </w:rPr>
            </w:pPr>
            <w:r>
              <w:rPr>
                <w:rFonts w:hint="eastAsia" w:ascii="Times New Roman" w:hAnsi="Times New Roman" w:eastAsia="宋体"/>
                <w:color w:val="FFFFFF"/>
                <w:kern w:val="0"/>
              </w:rPr>
              <w:t>人数</w:t>
            </w:r>
          </w:p>
        </w:tc>
        <w:tc>
          <w:tcPr>
            <w:tcW w:w="756" w:type="dxa"/>
            <w:shd w:val="clear" w:color="auto" w:fill="4BACC6" w:themeFill="accent5"/>
          </w:tcPr>
          <w:p>
            <w:pPr>
              <w:jc w:val="center"/>
              <w:rPr>
                <w:rFonts w:ascii="Times New Roman" w:hAnsi="Times New Roman" w:eastAsia="宋体"/>
                <w:color w:val="FFFFFF"/>
                <w:kern w:val="0"/>
              </w:rPr>
            </w:pPr>
            <w:r>
              <w:rPr>
                <w:rFonts w:ascii="Times New Roman" w:hAnsi="Times New Roman" w:eastAsia="宋体"/>
                <w:color w:val="FFFFFF"/>
                <w:kern w:val="0"/>
              </w:rPr>
              <w:t>%</w:t>
            </w:r>
          </w:p>
        </w:tc>
        <w:tc>
          <w:tcPr>
            <w:tcW w:w="696" w:type="dxa"/>
            <w:shd w:val="clear" w:color="auto" w:fill="4BACC6" w:themeFill="accent5"/>
          </w:tcPr>
          <w:p>
            <w:pPr>
              <w:jc w:val="center"/>
              <w:rPr>
                <w:rFonts w:ascii="Times New Roman" w:hAnsi="Times New Roman" w:eastAsia="宋体"/>
                <w:color w:val="FFFFFF"/>
                <w:kern w:val="0"/>
              </w:rPr>
            </w:pPr>
            <w:r>
              <w:rPr>
                <w:rFonts w:hint="eastAsia" w:ascii="Times New Roman" w:hAnsi="Times New Roman" w:eastAsia="宋体"/>
                <w:color w:val="FFFFFF"/>
                <w:kern w:val="0"/>
              </w:rPr>
              <w:t>人数</w:t>
            </w:r>
          </w:p>
        </w:tc>
        <w:tc>
          <w:tcPr>
            <w:tcW w:w="756" w:type="dxa"/>
            <w:shd w:val="clear" w:color="auto" w:fill="4BACC6" w:themeFill="accent5"/>
          </w:tcPr>
          <w:p>
            <w:pPr>
              <w:jc w:val="center"/>
              <w:rPr>
                <w:rFonts w:ascii="Times New Roman" w:hAnsi="Times New Roman" w:eastAsia="宋体"/>
                <w:color w:val="FFFFFF"/>
                <w:kern w:val="0"/>
              </w:rPr>
            </w:pPr>
            <w:r>
              <w:rPr>
                <w:rFonts w:hint="eastAsia" w:ascii="Times New Roman" w:hAnsi="Times New Roman" w:eastAsia="宋体"/>
                <w:color w:val="FFFFFF"/>
                <w:kern w:val="0"/>
              </w:rPr>
              <w:t>%</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restart"/>
            <w:shd w:val="clear" w:color="auto" w:fill="FFFFFF" w:themeFill="background1"/>
            <w:vAlign w:val="center"/>
          </w:tcPr>
          <w:p>
            <w:pPr>
              <w:jc w:val="center"/>
              <w:rPr>
                <w:rFonts w:ascii="Times New Roman" w:hAnsi="Times New Roman" w:eastAsia="宋体"/>
                <w:b/>
                <w:bCs/>
                <w:kern w:val="0"/>
              </w:rPr>
            </w:pPr>
            <w:r>
              <w:rPr>
                <w:rFonts w:hint="eastAsia" w:ascii="Times New Roman" w:hAnsi="Times New Roman" w:eastAsia="宋体"/>
                <w:b/>
                <w:bCs/>
                <w:kern w:val="0"/>
              </w:rPr>
              <w:t>就业</w:t>
            </w:r>
          </w:p>
        </w:tc>
        <w:tc>
          <w:tcPr>
            <w:tcW w:w="2136" w:type="dxa"/>
          </w:tcPr>
          <w:p>
            <w:pPr>
              <w:rPr>
                <w:rFonts w:ascii="Times New Roman" w:hAnsi="Times New Roman" w:eastAsia="宋体"/>
                <w:kern w:val="0"/>
              </w:rPr>
            </w:pPr>
            <w:r>
              <w:rPr>
                <w:rFonts w:hint="eastAsia" w:ascii="Times New Roman" w:hAnsi="Times New Roman" w:eastAsia="宋体"/>
                <w:kern w:val="0"/>
              </w:rPr>
              <w:t>签署三方协议</w:t>
            </w:r>
          </w:p>
        </w:tc>
        <w:tc>
          <w:tcPr>
            <w:tcW w:w="69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26</w:t>
            </w:r>
          </w:p>
        </w:tc>
        <w:tc>
          <w:tcPr>
            <w:tcW w:w="68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11.8</w:t>
            </w:r>
          </w:p>
        </w:tc>
        <w:tc>
          <w:tcPr>
            <w:tcW w:w="69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52</w:t>
            </w:r>
          </w:p>
        </w:tc>
        <w:tc>
          <w:tcPr>
            <w:tcW w:w="68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14.9</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34</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19.43</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40</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15.50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签订劳动合同</w:t>
            </w:r>
          </w:p>
        </w:tc>
        <w:tc>
          <w:tcPr>
            <w:tcW w:w="69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18</w:t>
            </w:r>
          </w:p>
        </w:tc>
        <w:tc>
          <w:tcPr>
            <w:tcW w:w="684"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8.1</w:t>
            </w:r>
          </w:p>
        </w:tc>
        <w:tc>
          <w:tcPr>
            <w:tcW w:w="69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43</w:t>
            </w:r>
          </w:p>
        </w:tc>
        <w:tc>
          <w:tcPr>
            <w:tcW w:w="684"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12.3</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29</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16.57</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33</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12.79</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tcPr>
          <w:p>
            <w:pPr>
              <w:rPr>
                <w:rFonts w:ascii="Times New Roman" w:hAnsi="Times New Roman" w:eastAsia="宋体"/>
                <w:kern w:val="0"/>
              </w:rPr>
            </w:pPr>
            <w:r>
              <w:rPr>
                <w:rFonts w:hint="eastAsia" w:ascii="Times New Roman" w:hAnsi="Times New Roman" w:eastAsia="宋体"/>
                <w:kern w:val="0"/>
              </w:rPr>
              <w:t>单位开具用人证明</w:t>
            </w:r>
          </w:p>
        </w:tc>
        <w:tc>
          <w:tcPr>
            <w:tcW w:w="69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7</w:t>
            </w:r>
          </w:p>
        </w:tc>
        <w:tc>
          <w:tcPr>
            <w:tcW w:w="68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3.2</w:t>
            </w:r>
          </w:p>
        </w:tc>
        <w:tc>
          <w:tcPr>
            <w:tcW w:w="69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20</w:t>
            </w:r>
          </w:p>
        </w:tc>
        <w:tc>
          <w:tcPr>
            <w:tcW w:w="68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5.7</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13</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7.43</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17</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6.59</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自由职业</w:t>
            </w:r>
          </w:p>
        </w:tc>
        <w:tc>
          <w:tcPr>
            <w:tcW w:w="69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137</w:t>
            </w:r>
          </w:p>
        </w:tc>
        <w:tc>
          <w:tcPr>
            <w:tcW w:w="684"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62.0</w:t>
            </w:r>
          </w:p>
        </w:tc>
        <w:tc>
          <w:tcPr>
            <w:tcW w:w="69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179</w:t>
            </w:r>
          </w:p>
        </w:tc>
        <w:tc>
          <w:tcPr>
            <w:tcW w:w="684"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51.3</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79</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45.14</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117</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45.35</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tcPr>
          <w:p>
            <w:pPr>
              <w:rPr>
                <w:rFonts w:ascii="Times New Roman" w:hAnsi="Times New Roman" w:eastAsia="宋体"/>
                <w:kern w:val="0"/>
              </w:rPr>
            </w:pPr>
            <w:r>
              <w:rPr>
                <w:rFonts w:hint="eastAsia" w:ascii="Times New Roman" w:hAnsi="Times New Roman" w:eastAsia="宋体"/>
                <w:kern w:val="0"/>
              </w:rPr>
              <w:t>自主创业</w:t>
            </w:r>
          </w:p>
        </w:tc>
        <w:tc>
          <w:tcPr>
            <w:tcW w:w="69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7</w:t>
            </w:r>
          </w:p>
        </w:tc>
        <w:tc>
          <w:tcPr>
            <w:tcW w:w="68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3.2</w:t>
            </w:r>
          </w:p>
        </w:tc>
        <w:tc>
          <w:tcPr>
            <w:tcW w:w="69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6</w:t>
            </w:r>
          </w:p>
        </w:tc>
        <w:tc>
          <w:tcPr>
            <w:tcW w:w="68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1.7</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8</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4.57</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5</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1.94</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restart"/>
            <w:shd w:val="clear" w:color="auto" w:fill="FFFFFF" w:themeFill="background1"/>
            <w:vAlign w:val="center"/>
          </w:tcPr>
          <w:p>
            <w:pPr>
              <w:jc w:val="center"/>
              <w:rPr>
                <w:rFonts w:ascii="Times New Roman" w:hAnsi="Times New Roman" w:eastAsia="宋体"/>
                <w:b/>
                <w:bCs/>
                <w:kern w:val="0"/>
              </w:rPr>
            </w:pPr>
            <w:r>
              <w:rPr>
                <w:rFonts w:hint="eastAsia" w:ascii="Times New Roman" w:hAnsi="Times New Roman" w:eastAsia="宋体"/>
                <w:b/>
                <w:bCs/>
                <w:kern w:val="0"/>
              </w:rPr>
              <w:t>深造</w:t>
            </w:r>
          </w:p>
        </w:tc>
        <w:tc>
          <w:tcPr>
            <w:tcW w:w="2136"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国内升学</w:t>
            </w:r>
          </w:p>
        </w:tc>
        <w:tc>
          <w:tcPr>
            <w:tcW w:w="69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7</w:t>
            </w:r>
          </w:p>
        </w:tc>
        <w:tc>
          <w:tcPr>
            <w:tcW w:w="684"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3.2</w:t>
            </w:r>
          </w:p>
        </w:tc>
        <w:tc>
          <w:tcPr>
            <w:tcW w:w="69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26</w:t>
            </w:r>
          </w:p>
        </w:tc>
        <w:tc>
          <w:tcPr>
            <w:tcW w:w="684"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7.4</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8</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4.57</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31</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12.02</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tcPr>
          <w:p>
            <w:pPr>
              <w:rPr>
                <w:rFonts w:ascii="Times New Roman" w:hAnsi="Times New Roman" w:eastAsia="宋体"/>
                <w:kern w:val="0"/>
              </w:rPr>
            </w:pPr>
            <w:r>
              <w:rPr>
                <w:rFonts w:hint="eastAsia" w:ascii="Times New Roman" w:hAnsi="Times New Roman" w:eastAsia="宋体"/>
                <w:kern w:val="0"/>
              </w:rPr>
              <w:t>出国（境）留学</w:t>
            </w:r>
          </w:p>
        </w:tc>
        <w:tc>
          <w:tcPr>
            <w:tcW w:w="69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3</w:t>
            </w:r>
          </w:p>
        </w:tc>
        <w:tc>
          <w:tcPr>
            <w:tcW w:w="68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1.4</w:t>
            </w:r>
          </w:p>
        </w:tc>
        <w:tc>
          <w:tcPr>
            <w:tcW w:w="69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12</w:t>
            </w:r>
          </w:p>
        </w:tc>
        <w:tc>
          <w:tcPr>
            <w:tcW w:w="68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3.4</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2</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1.14</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8</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3.10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restart"/>
            <w:shd w:val="clear" w:color="auto" w:fill="FFFFFF" w:themeFill="background1"/>
            <w:vAlign w:val="center"/>
          </w:tcPr>
          <w:p>
            <w:pPr>
              <w:jc w:val="center"/>
              <w:rPr>
                <w:rFonts w:ascii="Times New Roman" w:hAnsi="Times New Roman" w:eastAsia="宋体"/>
                <w:b/>
                <w:bCs/>
                <w:kern w:val="0"/>
              </w:rPr>
            </w:pPr>
            <w:r>
              <w:rPr>
                <w:rFonts w:hint="eastAsia" w:ascii="Times New Roman" w:hAnsi="Times New Roman" w:eastAsia="宋体"/>
                <w:b/>
                <w:bCs/>
                <w:kern w:val="0"/>
              </w:rPr>
              <w:t>未就业</w:t>
            </w:r>
          </w:p>
        </w:tc>
        <w:tc>
          <w:tcPr>
            <w:tcW w:w="2136"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求职中</w:t>
            </w:r>
          </w:p>
        </w:tc>
        <w:tc>
          <w:tcPr>
            <w:tcW w:w="69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11</w:t>
            </w:r>
          </w:p>
        </w:tc>
        <w:tc>
          <w:tcPr>
            <w:tcW w:w="684"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5.0</w:t>
            </w:r>
          </w:p>
        </w:tc>
        <w:tc>
          <w:tcPr>
            <w:tcW w:w="69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3</w:t>
            </w:r>
          </w:p>
        </w:tc>
        <w:tc>
          <w:tcPr>
            <w:tcW w:w="684"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0.9</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0.00</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vAlign w:val="center"/>
          </w:tcPr>
          <w:p>
            <w:pPr>
              <w:pStyle w:val="53"/>
              <w:rPr>
                <w:kern w:val="0"/>
              </w:rPr>
            </w:pPr>
            <w:r>
              <w:rPr>
                <w:rFonts w:hint="eastAsia"/>
                <w:kern w:val="0"/>
              </w:rPr>
              <w:t>拟升学不就业</w:t>
            </w:r>
          </w:p>
        </w:tc>
        <w:tc>
          <w:tcPr>
            <w:tcW w:w="69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w:t>
            </w:r>
          </w:p>
        </w:tc>
        <w:tc>
          <w:tcPr>
            <w:tcW w:w="68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0.9</w:t>
            </w:r>
          </w:p>
        </w:tc>
        <w:tc>
          <w:tcPr>
            <w:tcW w:w="69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w:t>
            </w:r>
          </w:p>
        </w:tc>
        <w:tc>
          <w:tcPr>
            <w:tcW w:w="68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0.6</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0.57</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4</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1.55</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continue"/>
            <w:shd w:val="clear" w:color="auto" w:fill="FFFFFF" w:themeFill="background1"/>
            <w:vAlign w:val="center"/>
          </w:tcPr>
          <w:p>
            <w:pPr>
              <w:rPr>
                <w:rFonts w:ascii="Times New Roman" w:hAnsi="Times New Roman" w:eastAsia="宋体"/>
                <w:b/>
                <w:bCs/>
                <w:kern w:val="0"/>
              </w:rPr>
            </w:pPr>
          </w:p>
        </w:tc>
        <w:tc>
          <w:tcPr>
            <w:tcW w:w="2136" w:type="dxa"/>
            <w:shd w:val="clear" w:color="auto" w:fill="DAEEF3" w:themeFill="accent5" w:themeFillTint="33"/>
            <w:vAlign w:val="center"/>
          </w:tcPr>
          <w:p>
            <w:pPr>
              <w:pStyle w:val="53"/>
              <w:rPr>
                <w:kern w:val="0"/>
              </w:rPr>
            </w:pPr>
            <w:r>
              <w:rPr>
                <w:rFonts w:hint="eastAsia"/>
                <w:kern w:val="0"/>
              </w:rPr>
              <w:t>拟出国不就业</w:t>
            </w:r>
          </w:p>
        </w:tc>
        <w:tc>
          <w:tcPr>
            <w:tcW w:w="69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3</w:t>
            </w:r>
          </w:p>
        </w:tc>
        <w:tc>
          <w:tcPr>
            <w:tcW w:w="684"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1.4</w:t>
            </w:r>
          </w:p>
        </w:tc>
        <w:tc>
          <w:tcPr>
            <w:tcW w:w="69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4</w:t>
            </w:r>
          </w:p>
        </w:tc>
        <w:tc>
          <w:tcPr>
            <w:tcW w:w="684"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1.1</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0.57</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3</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1.16</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continue"/>
            <w:shd w:val="clear" w:color="auto" w:fill="FFFFFF" w:themeFill="background1"/>
            <w:vAlign w:val="center"/>
          </w:tcPr>
          <w:p>
            <w:pPr>
              <w:rPr>
                <w:rFonts w:ascii="Times New Roman" w:hAnsi="Times New Roman" w:eastAsia="宋体"/>
                <w:b/>
                <w:bCs/>
                <w:kern w:val="0"/>
              </w:rPr>
            </w:pPr>
          </w:p>
        </w:tc>
        <w:tc>
          <w:tcPr>
            <w:tcW w:w="2136" w:type="dxa"/>
            <w:vAlign w:val="center"/>
          </w:tcPr>
          <w:p>
            <w:pPr>
              <w:pStyle w:val="53"/>
              <w:rPr>
                <w:kern w:val="0"/>
              </w:rPr>
            </w:pPr>
            <w:r>
              <w:rPr>
                <w:rFonts w:hint="eastAsia"/>
                <w:kern w:val="0"/>
              </w:rPr>
              <w:t>暂不就业</w:t>
            </w:r>
          </w:p>
        </w:tc>
        <w:tc>
          <w:tcPr>
            <w:tcW w:w="69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68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0.0</w:t>
            </w:r>
          </w:p>
        </w:tc>
        <w:tc>
          <w:tcPr>
            <w:tcW w:w="69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w:t>
            </w:r>
          </w:p>
        </w:tc>
        <w:tc>
          <w:tcPr>
            <w:tcW w:w="68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0.6</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0.00</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0.00</w:t>
            </w:r>
          </w:p>
        </w:tc>
      </w:tr>
      <w:bookmarkEnd w:id="44"/>
    </w:tbl>
    <w:p/>
    <w:p>
      <w:pPr>
        <w:pStyle w:val="67"/>
        <w:spacing w:before="156" w:after="156"/>
        <w:ind w:left="240"/>
      </w:pPr>
      <w:bookmarkStart w:id="45" w:name="_Toc406677042"/>
      <w:r>
        <w:rPr>
          <w:rFonts w:hint="eastAsia"/>
        </w:rPr>
        <w:t>3</w:t>
      </w:r>
      <w:r>
        <w:t>.</w:t>
      </w:r>
      <w:r>
        <w:rPr>
          <w:rFonts w:hint="eastAsia"/>
        </w:rPr>
        <w:t>不同生源地毕业生</w:t>
      </w:r>
      <w:bookmarkEnd w:id="45"/>
      <w:r>
        <w:rPr>
          <w:rFonts w:hint="eastAsia"/>
        </w:rPr>
        <w:t>就业率</w:t>
      </w:r>
    </w:p>
    <w:p>
      <w:pPr>
        <w:pStyle w:val="123"/>
        <w:ind w:firstLine="480"/>
      </w:pPr>
      <w:bookmarkStart w:id="46" w:name="_Toc406677043"/>
      <w:r>
        <w:rPr>
          <w:rFonts w:hint="eastAsia"/>
        </w:rPr>
        <w:t>本校201</w:t>
      </w:r>
      <w:r>
        <w:t>7</w:t>
      </w:r>
      <w:r>
        <w:rPr>
          <w:rFonts w:hint="eastAsia"/>
        </w:rPr>
        <w:t>届毕业生中北京生源、京外生源的就业率分别为</w:t>
      </w:r>
      <w:bookmarkStart w:id="47" w:name="PO_2213A"/>
      <w:bookmarkEnd w:id="47"/>
      <w:r>
        <w:t>100.0</w:t>
      </w:r>
      <w:r>
        <w:rPr>
          <w:rFonts w:hint="eastAsia"/>
        </w:rPr>
        <w:t>0</w:t>
      </w:r>
      <w:r>
        <w:t>%</w:t>
      </w:r>
      <w:r>
        <w:rPr>
          <w:rFonts w:hint="eastAsia"/>
        </w:rPr>
        <w:t>和</w:t>
      </w:r>
      <w:bookmarkStart w:id="48" w:name="PO_2213B"/>
      <w:bookmarkEnd w:id="48"/>
      <w:r>
        <w:t>97.71%</w:t>
      </w:r>
      <w:r>
        <w:rPr>
          <w:rFonts w:hint="eastAsia"/>
        </w:rPr>
        <w:t>，北京生源就业率比京外生源高2.29个百分点。具体来看，北京生源</w:t>
      </w:r>
      <w:bookmarkStart w:id="49" w:name="PO_2213C"/>
      <w:bookmarkEnd w:id="49"/>
      <w:r>
        <w:rPr>
          <w:rFonts w:hint="eastAsia"/>
        </w:rPr>
        <w:t>国内升学，出国（境）留学</w:t>
      </w:r>
      <w:r>
        <w:t>的比例低于</w:t>
      </w:r>
      <w:r>
        <w:rPr>
          <w:rFonts w:hint="eastAsia"/>
        </w:rPr>
        <w:t>京外生源</w:t>
      </w:r>
      <w:r>
        <w:t>，而</w:t>
      </w:r>
      <w:bookmarkStart w:id="50" w:name="PO_2213D"/>
      <w:bookmarkEnd w:id="50"/>
      <w:r>
        <w:rPr>
          <w:rFonts w:hint="eastAsia"/>
        </w:rPr>
        <w:t>签署三方协议，自主创业</w:t>
      </w:r>
      <w:r>
        <w:t>的比例则高于</w:t>
      </w:r>
      <w:r>
        <w:rPr>
          <w:rFonts w:hint="eastAsia"/>
        </w:rPr>
        <w:t>京外生源</w:t>
      </w:r>
      <w:r>
        <w:t>。</w:t>
      </w:r>
    </w:p>
    <w:p>
      <w:pPr>
        <w:pStyle w:val="55"/>
        <w:adjustRightInd/>
        <w:snapToGrid/>
        <w:spacing w:before="312" w:after="156"/>
        <w:ind w:left="420" w:hanging="420"/>
      </w:pPr>
      <w:bookmarkStart w:id="51" w:name="PO_2213E"/>
      <w:bookmarkEnd w:id="51"/>
      <w:r>
        <w:rPr>
          <w:rFonts w:hint="eastAsia"/>
        </w:rPr>
        <w:t>不同生源地毕业生毕业去向</w:t>
      </w:r>
    </w:p>
    <w:tbl>
      <w:tblPr>
        <w:tblStyle w:val="144"/>
        <w:tblW w:w="5979" w:type="dxa"/>
        <w:jc w:val="center"/>
        <w:tblInd w:w="0"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939"/>
        <w:gridCol w:w="2136"/>
        <w:gridCol w:w="696"/>
        <w:gridCol w:w="756"/>
        <w:gridCol w:w="696"/>
        <w:gridCol w:w="756"/>
      </w:tblGrid>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15" w:hRule="atLeast"/>
          <w:jc w:val="center"/>
        </w:trPr>
        <w:tc>
          <w:tcPr>
            <w:tcW w:w="939" w:type="dxa"/>
            <w:vMerge w:val="restart"/>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4BACC6" w:themeFill="accent5"/>
          </w:tcPr>
          <w:p>
            <w:pPr>
              <w:ind w:firstLine="480"/>
              <w:jc w:val="left"/>
              <w:rPr>
                <w:rFonts w:ascii="Times New Roman" w:hAnsi="Times New Roman" w:eastAsia="宋体"/>
                <w:b/>
                <w:bCs/>
                <w:color w:val="FFFFFF"/>
                <w:kern w:val="0"/>
              </w:rPr>
            </w:pPr>
          </w:p>
        </w:tc>
        <w:tc>
          <w:tcPr>
            <w:tcW w:w="2136" w:type="dxa"/>
            <w:vMerge w:val="restart"/>
            <w:tcBorders>
              <w:top w:val="single" w:color="4BACC6" w:themeColor="accent5" w:sz="4" w:space="0"/>
              <w:bottom w:val="single" w:color="4BACC6" w:themeColor="accent5" w:sz="4" w:space="0"/>
              <w:right w:val="nil"/>
              <w:insideH w:val="single" w:sz="4" w:space="0"/>
              <w:insideV w:val="nil"/>
            </w:tcBorders>
            <w:shd w:val="clear" w:color="auto" w:fill="4BACC6" w:themeFill="accent5"/>
          </w:tcPr>
          <w:p>
            <w:pPr>
              <w:jc w:val="left"/>
              <w:rPr>
                <w:rFonts w:ascii="Times New Roman" w:hAnsi="Times New Roman" w:eastAsia="宋体"/>
                <w:b/>
                <w:bCs/>
                <w:color w:val="FFFFFF"/>
                <w:kern w:val="0"/>
              </w:rPr>
            </w:pPr>
          </w:p>
        </w:tc>
        <w:tc>
          <w:tcPr>
            <w:tcW w:w="1452" w:type="dxa"/>
            <w:gridSpan w:val="2"/>
            <w:tcBorders>
              <w:top w:val="single" w:color="4BACC6" w:themeColor="accent5" w:sz="4" w:space="0"/>
              <w:bottom w:val="single" w:color="4BACC6" w:themeColor="accent5" w:sz="4" w:space="0"/>
              <w:right w:val="nil"/>
              <w:insideH w:val="single" w:sz="4" w:space="0"/>
              <w:insideV w:val="nil"/>
            </w:tcBorders>
            <w:shd w:val="clear" w:color="auto" w:fill="4BACC6" w:themeFill="accent5"/>
          </w:tcPr>
          <w:p>
            <w:pPr>
              <w:jc w:val="center"/>
              <w:rPr>
                <w:rFonts w:ascii="Times New Roman" w:hAnsi="Times New Roman" w:eastAsia="宋体"/>
                <w:b/>
                <w:bCs/>
                <w:color w:val="FFFFFF"/>
                <w:kern w:val="0"/>
              </w:rPr>
            </w:pPr>
            <w:r>
              <w:rPr>
                <w:rFonts w:hint="eastAsia" w:ascii="Times New Roman" w:hAnsi="Times New Roman" w:eastAsia="宋体"/>
                <w:b/>
                <w:bCs/>
                <w:color w:val="FFFFFF"/>
                <w:kern w:val="0"/>
              </w:rPr>
              <w:t>北京生源</w:t>
            </w:r>
          </w:p>
        </w:tc>
        <w:tc>
          <w:tcPr>
            <w:tcW w:w="1452" w:type="dxa"/>
            <w:gridSpan w:val="2"/>
            <w:tcBorders>
              <w:top w:val="single" w:color="4BACC6" w:themeColor="accent5" w:sz="4" w:space="0"/>
              <w:bottom w:val="single" w:color="4BACC6" w:themeColor="accent5" w:sz="4" w:space="0"/>
              <w:right w:val="single" w:color="4BACC6" w:themeColor="accent5" w:sz="4" w:space="0"/>
              <w:insideH w:val="single" w:sz="4" w:space="0"/>
              <w:insideV w:val="nil"/>
            </w:tcBorders>
            <w:shd w:val="clear" w:color="auto" w:fill="4BACC6" w:themeFill="accent5"/>
          </w:tcPr>
          <w:p>
            <w:pPr>
              <w:jc w:val="center"/>
              <w:rPr>
                <w:rFonts w:ascii="Times New Roman" w:hAnsi="Times New Roman" w:eastAsia="宋体"/>
                <w:b/>
                <w:bCs/>
                <w:color w:val="FFFFFF"/>
                <w:kern w:val="0"/>
              </w:rPr>
            </w:pPr>
            <w:r>
              <w:rPr>
                <w:rFonts w:hint="eastAsia" w:ascii="Times New Roman" w:hAnsi="Times New Roman" w:eastAsia="宋体"/>
                <w:b/>
                <w:bCs/>
                <w:color w:val="FFFFFF"/>
                <w:kern w:val="0"/>
              </w:rPr>
              <w:t>京外生源</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15" w:hRule="atLeast"/>
          <w:jc w:val="center"/>
        </w:trPr>
        <w:tc>
          <w:tcPr>
            <w:tcW w:w="939" w:type="dxa"/>
            <w:vMerge w:val="continue"/>
            <w:shd w:val="clear" w:color="auto" w:fill="4BACC6" w:themeFill="accent5"/>
          </w:tcPr>
          <w:p>
            <w:pPr>
              <w:rPr>
                <w:rFonts w:ascii="Times New Roman" w:hAnsi="Times New Roman" w:eastAsia="宋体"/>
                <w:b/>
                <w:bCs/>
                <w:color w:val="FFFFFF"/>
                <w:kern w:val="0"/>
              </w:rPr>
            </w:pPr>
          </w:p>
        </w:tc>
        <w:tc>
          <w:tcPr>
            <w:tcW w:w="2136" w:type="dxa"/>
            <w:vMerge w:val="continue"/>
            <w:shd w:val="clear" w:color="auto" w:fill="4BACC6" w:themeFill="accent5"/>
          </w:tcPr>
          <w:p>
            <w:pPr>
              <w:rPr>
                <w:rFonts w:ascii="Times New Roman" w:hAnsi="Times New Roman" w:eastAsia="宋体"/>
                <w:color w:val="FFFFFF"/>
                <w:kern w:val="0"/>
              </w:rPr>
            </w:pPr>
          </w:p>
        </w:tc>
        <w:tc>
          <w:tcPr>
            <w:tcW w:w="1452" w:type="dxa"/>
            <w:gridSpan w:val="2"/>
            <w:shd w:val="clear" w:color="auto" w:fill="4BACC6" w:themeFill="accent5"/>
          </w:tcPr>
          <w:p>
            <w:pPr>
              <w:pStyle w:val="123"/>
              <w:ind w:firstLine="0" w:firstLineChars="0"/>
              <w:jc w:val="center"/>
              <w:rPr>
                <w:b/>
                <w:color w:val="FFFFFF" w:themeColor="background1"/>
              </w:rPr>
            </w:pPr>
            <w:r>
              <w:rPr>
                <w:rFonts w:hint="eastAsia"/>
                <w:b/>
                <w:color w:val="FFFFFF" w:themeColor="background1"/>
              </w:rPr>
              <w:t>（N=</w:t>
            </w:r>
            <w:bookmarkStart w:id="52" w:name="PO_2213E_COL1"/>
            <w:bookmarkEnd w:id="52"/>
            <w:r>
              <w:rPr>
                <w:b/>
                <w:color w:val="FFFFFF" w:themeColor="background1"/>
              </w:rPr>
              <w:t>41</w:t>
            </w:r>
            <w:r>
              <w:rPr>
                <w:rFonts w:hint="eastAsia"/>
                <w:b/>
                <w:color w:val="FFFFFF" w:themeColor="background1"/>
              </w:rPr>
              <w:t>）</w:t>
            </w:r>
          </w:p>
        </w:tc>
        <w:tc>
          <w:tcPr>
            <w:tcW w:w="1452" w:type="dxa"/>
            <w:gridSpan w:val="2"/>
            <w:shd w:val="clear" w:color="auto" w:fill="4BACC6" w:themeFill="accent5"/>
          </w:tcPr>
          <w:p>
            <w:pPr>
              <w:pStyle w:val="123"/>
              <w:ind w:firstLine="0" w:firstLineChars="0"/>
              <w:jc w:val="center"/>
              <w:rPr>
                <w:b/>
                <w:color w:val="FFFFFF" w:themeColor="background1"/>
              </w:rPr>
            </w:pPr>
            <w:r>
              <w:rPr>
                <w:rFonts w:hint="eastAsia"/>
                <w:b/>
                <w:color w:val="FFFFFF" w:themeColor="background1"/>
              </w:rPr>
              <w:t>（N=</w:t>
            </w:r>
            <w:bookmarkStart w:id="53" w:name="PO_2213E_COL2"/>
            <w:bookmarkEnd w:id="53"/>
            <w:r>
              <w:rPr>
                <w:b/>
                <w:color w:val="FFFFFF" w:themeColor="background1"/>
              </w:rPr>
              <w:t>392</w:t>
            </w:r>
            <w:r>
              <w:rPr>
                <w:rFonts w:hint="eastAsia"/>
                <w:b/>
                <w:color w:val="FFFFFF" w:themeColor="background1"/>
              </w:rPr>
              <w:t>）</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15" w:hRule="atLeast"/>
          <w:jc w:val="center"/>
        </w:trPr>
        <w:tc>
          <w:tcPr>
            <w:tcW w:w="939" w:type="dxa"/>
            <w:vMerge w:val="continue"/>
            <w:shd w:val="clear" w:color="auto" w:fill="4BACC6" w:themeFill="accent5"/>
          </w:tcPr>
          <w:p>
            <w:pPr>
              <w:rPr>
                <w:rFonts w:ascii="Times New Roman" w:hAnsi="Times New Roman" w:eastAsia="宋体"/>
                <w:b/>
                <w:bCs/>
                <w:color w:val="FFFFFF"/>
                <w:kern w:val="0"/>
              </w:rPr>
            </w:pPr>
          </w:p>
        </w:tc>
        <w:tc>
          <w:tcPr>
            <w:tcW w:w="2136" w:type="dxa"/>
            <w:vMerge w:val="continue"/>
            <w:shd w:val="clear" w:color="auto" w:fill="4BACC6" w:themeFill="accent5"/>
          </w:tcPr>
          <w:p>
            <w:pPr>
              <w:rPr>
                <w:rFonts w:ascii="Times New Roman" w:hAnsi="Times New Roman" w:eastAsia="宋体"/>
                <w:color w:val="FFFFFF"/>
                <w:kern w:val="0"/>
              </w:rPr>
            </w:pPr>
          </w:p>
        </w:tc>
        <w:tc>
          <w:tcPr>
            <w:tcW w:w="696" w:type="dxa"/>
            <w:shd w:val="clear" w:color="auto" w:fill="4BACC6" w:themeFill="accent5"/>
          </w:tcPr>
          <w:p>
            <w:pPr>
              <w:jc w:val="center"/>
              <w:rPr>
                <w:rFonts w:ascii="Times New Roman" w:hAnsi="Times New Roman" w:eastAsia="宋体"/>
                <w:color w:val="FFFFFF"/>
                <w:kern w:val="0"/>
              </w:rPr>
            </w:pPr>
            <w:r>
              <w:rPr>
                <w:rFonts w:hint="eastAsia" w:ascii="Times New Roman" w:hAnsi="Times New Roman" w:eastAsia="宋体"/>
                <w:color w:val="FFFFFF"/>
                <w:kern w:val="0"/>
              </w:rPr>
              <w:t>人数</w:t>
            </w:r>
          </w:p>
        </w:tc>
        <w:tc>
          <w:tcPr>
            <w:tcW w:w="756" w:type="dxa"/>
            <w:shd w:val="clear" w:color="auto" w:fill="4BACC6" w:themeFill="accent5"/>
          </w:tcPr>
          <w:p>
            <w:pPr>
              <w:jc w:val="center"/>
              <w:rPr>
                <w:rFonts w:ascii="Times New Roman" w:hAnsi="Times New Roman" w:eastAsia="宋体"/>
                <w:color w:val="FFFFFF"/>
                <w:kern w:val="0"/>
              </w:rPr>
            </w:pPr>
            <w:r>
              <w:rPr>
                <w:rFonts w:ascii="Times New Roman" w:hAnsi="Times New Roman" w:eastAsia="宋体"/>
                <w:color w:val="FFFFFF"/>
                <w:kern w:val="0"/>
              </w:rPr>
              <w:t>%</w:t>
            </w:r>
          </w:p>
        </w:tc>
        <w:tc>
          <w:tcPr>
            <w:tcW w:w="696" w:type="dxa"/>
            <w:shd w:val="clear" w:color="auto" w:fill="4BACC6" w:themeFill="accent5"/>
          </w:tcPr>
          <w:p>
            <w:pPr>
              <w:jc w:val="center"/>
              <w:rPr>
                <w:rFonts w:ascii="Times New Roman" w:hAnsi="Times New Roman" w:eastAsia="宋体"/>
                <w:color w:val="FFFFFF"/>
                <w:kern w:val="0"/>
              </w:rPr>
            </w:pPr>
            <w:r>
              <w:rPr>
                <w:rFonts w:hint="eastAsia" w:ascii="Times New Roman" w:hAnsi="Times New Roman" w:eastAsia="宋体"/>
                <w:color w:val="FFFFFF"/>
                <w:kern w:val="0"/>
              </w:rPr>
              <w:t>人数</w:t>
            </w:r>
          </w:p>
        </w:tc>
        <w:tc>
          <w:tcPr>
            <w:tcW w:w="756" w:type="dxa"/>
            <w:shd w:val="clear" w:color="auto" w:fill="4BACC6" w:themeFill="accent5"/>
          </w:tcPr>
          <w:p>
            <w:pPr>
              <w:jc w:val="center"/>
              <w:rPr>
                <w:rFonts w:ascii="Times New Roman" w:hAnsi="Times New Roman" w:eastAsia="宋体"/>
                <w:color w:val="FFFFFF"/>
                <w:kern w:val="0"/>
              </w:rPr>
            </w:pPr>
            <w:r>
              <w:rPr>
                <w:rFonts w:hint="eastAsia" w:ascii="Times New Roman" w:hAnsi="Times New Roman" w:eastAsia="宋体"/>
                <w:color w:val="FFFFFF"/>
                <w:kern w:val="0"/>
              </w:rPr>
              <w:t>%</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restart"/>
            <w:shd w:val="clear" w:color="auto" w:fill="FFFFFF" w:themeFill="background1"/>
            <w:vAlign w:val="center"/>
          </w:tcPr>
          <w:p>
            <w:pPr>
              <w:jc w:val="center"/>
              <w:rPr>
                <w:rFonts w:ascii="Times New Roman" w:hAnsi="Times New Roman" w:eastAsia="宋体"/>
                <w:b/>
                <w:bCs/>
                <w:kern w:val="0"/>
              </w:rPr>
            </w:pPr>
            <w:r>
              <w:rPr>
                <w:rFonts w:hint="eastAsia" w:ascii="Times New Roman" w:hAnsi="Times New Roman" w:eastAsia="宋体"/>
                <w:b/>
                <w:bCs/>
                <w:kern w:val="0"/>
              </w:rPr>
              <w:t>就业</w:t>
            </w:r>
          </w:p>
        </w:tc>
        <w:tc>
          <w:tcPr>
            <w:tcW w:w="2136"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签署三方协议</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11</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26.83</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63</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16.07</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tcPr>
          <w:p>
            <w:pPr>
              <w:rPr>
                <w:rFonts w:ascii="Times New Roman" w:hAnsi="Times New Roman" w:eastAsia="宋体"/>
                <w:kern w:val="0"/>
              </w:rPr>
            </w:pPr>
            <w:r>
              <w:rPr>
                <w:rFonts w:hint="eastAsia" w:ascii="Times New Roman" w:hAnsi="Times New Roman" w:eastAsia="宋体"/>
                <w:kern w:val="0"/>
              </w:rPr>
              <w:t>签订劳动合同</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8</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19.51</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54</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13.78</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单位开具用人证明</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3</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7.32</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27</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6.89</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tcPr>
          <w:p>
            <w:pPr>
              <w:rPr>
                <w:rFonts w:ascii="Times New Roman" w:hAnsi="Times New Roman" w:eastAsia="宋体"/>
                <w:kern w:val="0"/>
              </w:rPr>
            </w:pPr>
            <w:r>
              <w:rPr>
                <w:rFonts w:hint="eastAsia" w:ascii="Times New Roman" w:hAnsi="Times New Roman" w:eastAsia="宋体"/>
                <w:kern w:val="0"/>
              </w:rPr>
              <w:t>自由职业</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14</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34.15</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182</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46.43</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自主创业</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4</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9.76</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9</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2.30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restart"/>
            <w:shd w:val="clear" w:color="auto" w:fill="FFFFFF" w:themeFill="background1"/>
            <w:vAlign w:val="center"/>
          </w:tcPr>
          <w:p>
            <w:pPr>
              <w:jc w:val="center"/>
              <w:rPr>
                <w:rFonts w:ascii="Times New Roman" w:hAnsi="Times New Roman" w:eastAsia="宋体"/>
                <w:b/>
                <w:bCs/>
                <w:kern w:val="0"/>
              </w:rPr>
            </w:pPr>
            <w:r>
              <w:rPr>
                <w:rFonts w:hint="eastAsia" w:ascii="Times New Roman" w:hAnsi="Times New Roman" w:eastAsia="宋体"/>
                <w:b/>
                <w:bCs/>
                <w:kern w:val="0"/>
              </w:rPr>
              <w:t>深造</w:t>
            </w:r>
          </w:p>
        </w:tc>
        <w:tc>
          <w:tcPr>
            <w:tcW w:w="2136" w:type="dxa"/>
          </w:tcPr>
          <w:p>
            <w:pPr>
              <w:rPr>
                <w:rFonts w:ascii="Times New Roman" w:hAnsi="Times New Roman" w:eastAsia="宋体"/>
                <w:kern w:val="0"/>
              </w:rPr>
            </w:pPr>
            <w:r>
              <w:rPr>
                <w:rFonts w:hint="eastAsia" w:ascii="Times New Roman" w:hAnsi="Times New Roman" w:eastAsia="宋体"/>
                <w:kern w:val="0"/>
              </w:rPr>
              <w:t>国内升学</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2.44</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38</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9.69</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出国（境）留学</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0.00</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10</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2.55</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restart"/>
            <w:shd w:val="clear" w:color="auto" w:fill="FFFFFF" w:themeFill="background1"/>
            <w:vAlign w:val="center"/>
          </w:tcPr>
          <w:p>
            <w:pPr>
              <w:jc w:val="center"/>
              <w:rPr>
                <w:rFonts w:ascii="Times New Roman" w:hAnsi="Times New Roman" w:eastAsia="宋体"/>
                <w:b/>
                <w:bCs/>
                <w:kern w:val="0"/>
              </w:rPr>
            </w:pPr>
            <w:r>
              <w:rPr>
                <w:rFonts w:hint="eastAsia" w:ascii="Times New Roman" w:hAnsi="Times New Roman" w:eastAsia="宋体"/>
                <w:b/>
                <w:bCs/>
                <w:kern w:val="0"/>
              </w:rPr>
              <w:t>未就业</w:t>
            </w:r>
          </w:p>
        </w:tc>
        <w:tc>
          <w:tcPr>
            <w:tcW w:w="2136" w:type="dxa"/>
          </w:tcPr>
          <w:p>
            <w:pPr>
              <w:rPr>
                <w:rFonts w:ascii="Times New Roman" w:hAnsi="Times New Roman" w:eastAsia="宋体"/>
                <w:kern w:val="0"/>
              </w:rPr>
            </w:pPr>
            <w:r>
              <w:rPr>
                <w:rFonts w:hint="eastAsia" w:ascii="Times New Roman" w:hAnsi="Times New Roman" w:eastAsia="宋体"/>
                <w:kern w:val="0"/>
              </w:rPr>
              <w:t>拟升学不就业</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0.00</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5</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1.28</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拟出国不就业</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0.00</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4</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1.02</w:t>
            </w:r>
          </w:p>
        </w:tc>
      </w:tr>
    </w:tbl>
    <w:p/>
    <w:p>
      <w:pPr>
        <w:spacing w:line="360" w:lineRule="auto"/>
        <w:ind w:firstLine="480" w:firstLineChars="200"/>
        <w:rPr>
          <w:rFonts w:ascii="Times New Roman" w:hAnsi="Times New Roman" w:cs="Times New Roman"/>
          <w:szCs w:val="24"/>
        </w:rPr>
      </w:pPr>
      <w:bookmarkStart w:id="54" w:name="_Hlk500776123"/>
      <w:r>
        <w:rPr>
          <w:rFonts w:ascii="Times New Roman" w:hAnsi="Times New Roman" w:cs="Times New Roman"/>
          <w:szCs w:val="24"/>
        </w:rPr>
        <w:t>与2016届相比而言，2017届毕业生中</w:t>
      </w:r>
      <w:r>
        <w:rPr>
          <w:rFonts w:hint="eastAsia" w:ascii="Times New Roman" w:hAnsi="Times New Roman" w:cs="Times New Roman"/>
          <w:szCs w:val="24"/>
        </w:rPr>
        <w:t>北京生源以及京外生源的就业率分别上升了</w:t>
      </w:r>
      <w:r>
        <w:rPr>
          <w:rFonts w:ascii="Times New Roman" w:hAnsi="Times New Roman" w:cs="Times New Roman"/>
          <w:szCs w:val="24"/>
        </w:rPr>
        <w:t>3.10</w:t>
      </w:r>
      <w:r>
        <w:rPr>
          <w:rFonts w:hint="eastAsia" w:ascii="Times New Roman" w:hAnsi="Times New Roman" w:cs="Times New Roman"/>
          <w:szCs w:val="24"/>
        </w:rPr>
        <w:t>和</w:t>
      </w:r>
      <w:r>
        <w:rPr>
          <w:rFonts w:ascii="Times New Roman" w:hAnsi="Times New Roman" w:cs="Times New Roman"/>
          <w:szCs w:val="24"/>
        </w:rPr>
        <w:t>2.61</w:t>
      </w:r>
      <w:r>
        <w:rPr>
          <w:rFonts w:hint="eastAsia" w:ascii="Times New Roman" w:hAnsi="Times New Roman" w:cs="Times New Roman"/>
          <w:szCs w:val="24"/>
        </w:rPr>
        <w:t>个百分点</w:t>
      </w:r>
      <w:r>
        <w:rPr>
          <w:rFonts w:ascii="Times New Roman" w:hAnsi="Times New Roman" w:cs="Times New Roman"/>
          <w:szCs w:val="24"/>
        </w:rPr>
        <w:t>。其中，2017届</w:t>
      </w:r>
      <w:r>
        <w:rPr>
          <w:rFonts w:hint="eastAsia" w:ascii="Times New Roman" w:hAnsi="Times New Roman" w:cs="Times New Roman"/>
          <w:szCs w:val="24"/>
        </w:rPr>
        <w:t>毕业生中北京生源</w:t>
      </w:r>
      <w:r>
        <w:rPr>
          <w:rFonts w:ascii="Times New Roman" w:hAnsi="Times New Roman" w:cs="Times New Roman"/>
          <w:szCs w:val="24"/>
        </w:rPr>
        <w:t>签署三方协议</w:t>
      </w:r>
      <w:r>
        <w:rPr>
          <w:rFonts w:hint="eastAsia" w:ascii="Times New Roman" w:hAnsi="Times New Roman" w:cs="Times New Roman"/>
          <w:szCs w:val="24"/>
        </w:rPr>
        <w:t>、国内升学以及出国（境）留学</w:t>
      </w:r>
      <w:r>
        <w:rPr>
          <w:rFonts w:ascii="Times New Roman" w:hAnsi="Times New Roman" w:cs="Times New Roman"/>
          <w:szCs w:val="24"/>
        </w:rPr>
        <w:t>的比例</w:t>
      </w:r>
      <w:r>
        <w:rPr>
          <w:rFonts w:hint="eastAsia" w:ascii="Times New Roman" w:hAnsi="Times New Roman" w:cs="Times New Roman"/>
          <w:szCs w:val="24"/>
        </w:rPr>
        <w:t>低</w:t>
      </w:r>
      <w:r>
        <w:rPr>
          <w:rFonts w:ascii="Times New Roman" w:hAnsi="Times New Roman" w:cs="Times New Roman"/>
          <w:szCs w:val="24"/>
        </w:rPr>
        <w:t>于2016届，而自主创业的比例</w:t>
      </w:r>
      <w:r>
        <w:rPr>
          <w:rFonts w:hint="eastAsia" w:ascii="Times New Roman" w:hAnsi="Times New Roman" w:cs="Times New Roman"/>
          <w:szCs w:val="24"/>
        </w:rPr>
        <w:t>高</w:t>
      </w:r>
      <w:r>
        <w:rPr>
          <w:rFonts w:ascii="Times New Roman" w:hAnsi="Times New Roman" w:cs="Times New Roman"/>
          <w:szCs w:val="24"/>
        </w:rPr>
        <w:t>于2016届中</w:t>
      </w:r>
      <w:r>
        <w:rPr>
          <w:rFonts w:hint="eastAsia" w:ascii="Times New Roman" w:hAnsi="Times New Roman" w:cs="Times New Roman"/>
          <w:szCs w:val="24"/>
        </w:rPr>
        <w:t>北京生源的</w:t>
      </w:r>
      <w:r>
        <w:rPr>
          <w:rFonts w:ascii="Times New Roman" w:hAnsi="Times New Roman" w:cs="Times New Roman"/>
          <w:szCs w:val="24"/>
        </w:rPr>
        <w:t>毕业生。2017届毕业生中</w:t>
      </w:r>
      <w:r>
        <w:rPr>
          <w:rFonts w:hint="eastAsia" w:ascii="Times New Roman" w:hAnsi="Times New Roman" w:cs="Times New Roman"/>
          <w:szCs w:val="24"/>
        </w:rPr>
        <w:t>京外生源的毕业生</w:t>
      </w:r>
      <w:r>
        <w:rPr>
          <w:rFonts w:ascii="Times New Roman" w:hAnsi="Times New Roman" w:cs="Times New Roman"/>
          <w:szCs w:val="24"/>
        </w:rPr>
        <w:t>签署三方协议、自主创业</w:t>
      </w:r>
      <w:r>
        <w:rPr>
          <w:rFonts w:hint="eastAsia" w:ascii="Times New Roman" w:hAnsi="Times New Roman" w:cs="Times New Roman"/>
          <w:szCs w:val="24"/>
        </w:rPr>
        <w:t>、</w:t>
      </w:r>
      <w:r>
        <w:rPr>
          <w:rFonts w:ascii="Times New Roman" w:hAnsi="Times New Roman" w:cs="Times New Roman"/>
          <w:szCs w:val="24"/>
        </w:rPr>
        <w:t>国内升学的比例</w:t>
      </w:r>
      <w:r>
        <w:rPr>
          <w:rFonts w:hint="eastAsia" w:ascii="Times New Roman" w:hAnsi="Times New Roman" w:cs="Times New Roman"/>
          <w:szCs w:val="24"/>
        </w:rPr>
        <w:t>皆高</w:t>
      </w:r>
      <w:r>
        <w:rPr>
          <w:rFonts w:ascii="Times New Roman" w:hAnsi="Times New Roman" w:cs="Times New Roman"/>
          <w:szCs w:val="24"/>
        </w:rPr>
        <w:t>于2016届</w:t>
      </w:r>
      <w:r>
        <w:rPr>
          <w:rFonts w:hint="eastAsia" w:ascii="Times New Roman" w:hAnsi="Times New Roman" w:cs="Times New Roman"/>
          <w:szCs w:val="24"/>
        </w:rPr>
        <w:t>京外生源的</w:t>
      </w:r>
      <w:r>
        <w:rPr>
          <w:rFonts w:ascii="Times New Roman" w:hAnsi="Times New Roman" w:cs="Times New Roman"/>
          <w:szCs w:val="24"/>
        </w:rPr>
        <w:t>毕业生</w:t>
      </w:r>
      <w:r>
        <w:rPr>
          <w:rFonts w:hint="eastAsia" w:ascii="Times New Roman" w:hAnsi="Times New Roman" w:cs="Times New Roman"/>
          <w:szCs w:val="24"/>
        </w:rPr>
        <w:t>，而</w:t>
      </w:r>
      <w:r>
        <w:rPr>
          <w:rFonts w:ascii="Times New Roman" w:hAnsi="Times New Roman" w:cs="Times New Roman"/>
          <w:szCs w:val="24"/>
        </w:rPr>
        <w:t>出国（境）留学</w:t>
      </w:r>
      <w:r>
        <w:rPr>
          <w:rFonts w:hint="eastAsia" w:ascii="Times New Roman" w:hAnsi="Times New Roman" w:cs="Times New Roman"/>
          <w:szCs w:val="24"/>
        </w:rPr>
        <w:t>的比例低于2</w:t>
      </w:r>
      <w:r>
        <w:rPr>
          <w:rFonts w:ascii="Times New Roman" w:hAnsi="Times New Roman" w:cs="Times New Roman"/>
          <w:szCs w:val="24"/>
        </w:rPr>
        <w:t>016</w:t>
      </w:r>
      <w:r>
        <w:rPr>
          <w:rFonts w:hint="eastAsia" w:ascii="Times New Roman" w:hAnsi="Times New Roman" w:cs="Times New Roman"/>
          <w:szCs w:val="24"/>
        </w:rPr>
        <w:t>届。</w:t>
      </w:r>
    </w:p>
    <w:p>
      <w:pPr>
        <w:pStyle w:val="55"/>
        <w:adjustRightInd/>
        <w:snapToGrid/>
        <w:spacing w:before="312" w:after="156"/>
        <w:ind w:left="420" w:hanging="420"/>
      </w:pPr>
      <w:r>
        <w:rPr>
          <w:rFonts w:hint="eastAsia"/>
        </w:rPr>
        <w:t>2</w:t>
      </w:r>
      <w:r>
        <w:t>016</w:t>
      </w:r>
      <w:r>
        <w:rPr>
          <w:rFonts w:hint="eastAsia"/>
        </w:rPr>
        <w:t>届与2</w:t>
      </w:r>
      <w:r>
        <w:t>017</w:t>
      </w:r>
      <w:r>
        <w:rPr>
          <w:rFonts w:hint="eastAsia"/>
        </w:rPr>
        <w:t>届不同生源地毕业生毕业去向比较情况</w:t>
      </w:r>
    </w:p>
    <w:tbl>
      <w:tblPr>
        <w:tblStyle w:val="144"/>
        <w:tblW w:w="8643" w:type="dxa"/>
        <w:jc w:val="center"/>
        <w:tblInd w:w="0"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939"/>
        <w:gridCol w:w="2136"/>
        <w:gridCol w:w="696"/>
        <w:gridCol w:w="636"/>
        <w:gridCol w:w="696"/>
        <w:gridCol w:w="636"/>
        <w:gridCol w:w="696"/>
        <w:gridCol w:w="756"/>
        <w:gridCol w:w="696"/>
        <w:gridCol w:w="756"/>
      </w:tblGrid>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15" w:hRule="atLeast"/>
          <w:jc w:val="center"/>
        </w:trPr>
        <w:tc>
          <w:tcPr>
            <w:tcW w:w="939" w:type="dxa"/>
            <w:vMerge w:val="restart"/>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4BACC6" w:themeFill="accent5"/>
          </w:tcPr>
          <w:p>
            <w:pPr>
              <w:ind w:firstLine="480"/>
              <w:jc w:val="left"/>
              <w:rPr>
                <w:rFonts w:ascii="Times New Roman" w:hAnsi="Times New Roman" w:eastAsia="宋体"/>
                <w:b/>
                <w:bCs/>
                <w:color w:val="FFFFFF"/>
                <w:kern w:val="0"/>
              </w:rPr>
            </w:pPr>
          </w:p>
        </w:tc>
        <w:tc>
          <w:tcPr>
            <w:tcW w:w="2136" w:type="dxa"/>
            <w:vMerge w:val="restart"/>
            <w:tcBorders>
              <w:top w:val="single" w:color="4BACC6" w:themeColor="accent5" w:sz="4" w:space="0"/>
              <w:bottom w:val="single" w:color="4BACC6" w:themeColor="accent5" w:sz="4" w:space="0"/>
              <w:right w:val="nil"/>
              <w:insideH w:val="single" w:sz="4" w:space="0"/>
              <w:insideV w:val="nil"/>
            </w:tcBorders>
            <w:shd w:val="clear" w:color="auto" w:fill="4BACC6" w:themeFill="accent5"/>
          </w:tcPr>
          <w:p>
            <w:pPr>
              <w:jc w:val="left"/>
              <w:rPr>
                <w:rFonts w:ascii="Times New Roman" w:hAnsi="Times New Roman" w:eastAsia="宋体"/>
                <w:b/>
                <w:bCs/>
                <w:color w:val="FFFFFF"/>
                <w:kern w:val="0"/>
              </w:rPr>
            </w:pPr>
          </w:p>
        </w:tc>
        <w:tc>
          <w:tcPr>
            <w:tcW w:w="2664" w:type="dxa"/>
            <w:gridSpan w:val="4"/>
            <w:tcBorders>
              <w:top w:val="single" w:color="4BACC6" w:themeColor="accent5" w:sz="4" w:space="0"/>
              <w:bottom w:val="single" w:color="4BACC6" w:themeColor="accent5" w:sz="4" w:space="0"/>
              <w:right w:val="nil"/>
              <w:insideH w:val="single" w:sz="4" w:space="0"/>
              <w:insideV w:val="nil"/>
            </w:tcBorders>
            <w:shd w:val="clear" w:color="auto" w:fill="4BACC6" w:themeFill="accent5"/>
          </w:tcPr>
          <w:p>
            <w:pPr>
              <w:jc w:val="center"/>
              <w:rPr>
                <w:rFonts w:ascii="Times New Roman" w:hAnsi="Times New Roman" w:eastAsia="宋体"/>
                <w:b/>
                <w:bCs/>
                <w:color w:val="FFFFFF"/>
                <w:kern w:val="0"/>
              </w:rPr>
            </w:pPr>
            <w:r>
              <w:rPr>
                <w:rFonts w:hint="eastAsia" w:ascii="Times New Roman" w:hAnsi="Times New Roman" w:eastAsia="宋体"/>
                <w:b/>
                <w:bCs/>
                <w:color w:val="FFFFFF"/>
                <w:kern w:val="0"/>
              </w:rPr>
              <w:t>2</w:t>
            </w:r>
            <w:r>
              <w:rPr>
                <w:rFonts w:ascii="Times New Roman" w:hAnsi="Times New Roman" w:eastAsia="宋体"/>
                <w:b/>
                <w:bCs/>
                <w:color w:val="FFFFFF"/>
                <w:kern w:val="0"/>
              </w:rPr>
              <w:t>016</w:t>
            </w:r>
            <w:r>
              <w:rPr>
                <w:rFonts w:hint="eastAsia" w:ascii="Times New Roman" w:hAnsi="Times New Roman" w:eastAsia="宋体"/>
                <w:b/>
                <w:bCs/>
                <w:color w:val="FFFFFF"/>
                <w:kern w:val="0"/>
              </w:rPr>
              <w:t>届</w:t>
            </w:r>
          </w:p>
        </w:tc>
        <w:tc>
          <w:tcPr>
            <w:tcW w:w="2904" w:type="dxa"/>
            <w:gridSpan w:val="4"/>
            <w:tcBorders>
              <w:top w:val="single" w:color="4BACC6" w:themeColor="accent5" w:sz="4" w:space="0"/>
              <w:bottom w:val="single" w:color="4BACC6" w:themeColor="accent5" w:sz="4" w:space="0"/>
              <w:right w:val="single" w:color="4BACC6" w:themeColor="accent5" w:sz="4" w:space="0"/>
              <w:insideH w:val="single" w:sz="4" w:space="0"/>
              <w:insideV w:val="nil"/>
            </w:tcBorders>
            <w:shd w:val="clear" w:color="auto" w:fill="4BACC6" w:themeFill="accent5"/>
          </w:tcPr>
          <w:p>
            <w:pPr>
              <w:jc w:val="center"/>
              <w:rPr>
                <w:rFonts w:ascii="Times New Roman" w:hAnsi="Times New Roman" w:eastAsia="宋体"/>
                <w:b/>
                <w:bCs/>
                <w:color w:val="FFFFFF"/>
                <w:kern w:val="0"/>
              </w:rPr>
            </w:pPr>
            <w:r>
              <w:rPr>
                <w:rFonts w:hint="eastAsia" w:ascii="Times New Roman" w:hAnsi="Times New Roman" w:eastAsia="宋体"/>
                <w:b/>
                <w:bCs/>
                <w:color w:val="FFFFFF"/>
                <w:kern w:val="0"/>
              </w:rPr>
              <w:t>2</w:t>
            </w:r>
            <w:r>
              <w:rPr>
                <w:rFonts w:ascii="Times New Roman" w:hAnsi="Times New Roman" w:eastAsia="宋体"/>
                <w:b/>
                <w:bCs/>
                <w:color w:val="FFFFFF"/>
                <w:kern w:val="0"/>
              </w:rPr>
              <w:t>017</w:t>
            </w:r>
            <w:r>
              <w:rPr>
                <w:rFonts w:hint="eastAsia" w:ascii="Times New Roman" w:hAnsi="Times New Roman" w:eastAsia="宋体"/>
                <w:b/>
                <w:bCs/>
                <w:color w:val="FFFFFF"/>
                <w:kern w:val="0"/>
              </w:rPr>
              <w:t>届</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15" w:hRule="atLeast"/>
          <w:jc w:val="center"/>
        </w:trPr>
        <w:tc>
          <w:tcPr>
            <w:tcW w:w="939" w:type="dxa"/>
            <w:vMerge w:val="continue"/>
            <w:shd w:val="clear" w:color="auto" w:fill="DAEEF3" w:themeFill="accent5" w:themeFillTint="33"/>
          </w:tcPr>
          <w:p>
            <w:pPr>
              <w:ind w:firstLine="480"/>
              <w:jc w:val="left"/>
              <w:rPr>
                <w:rFonts w:ascii="Times New Roman" w:hAnsi="Times New Roman" w:eastAsia="宋体"/>
                <w:b/>
                <w:bCs/>
                <w:color w:val="FFFFFF"/>
                <w:kern w:val="0"/>
              </w:rPr>
            </w:pPr>
          </w:p>
        </w:tc>
        <w:tc>
          <w:tcPr>
            <w:tcW w:w="2136" w:type="dxa"/>
            <w:vMerge w:val="continue"/>
            <w:shd w:val="clear" w:color="auto" w:fill="DAEEF3" w:themeFill="accent5" w:themeFillTint="33"/>
          </w:tcPr>
          <w:p>
            <w:pPr>
              <w:jc w:val="left"/>
              <w:rPr>
                <w:rFonts w:ascii="Times New Roman" w:hAnsi="Times New Roman" w:eastAsia="宋体"/>
                <w:color w:val="FFFFFF"/>
                <w:kern w:val="0"/>
              </w:rPr>
            </w:pPr>
          </w:p>
        </w:tc>
        <w:tc>
          <w:tcPr>
            <w:tcW w:w="1332" w:type="dxa"/>
            <w:gridSpan w:val="2"/>
            <w:shd w:val="clear" w:color="auto" w:fill="4BACC6"/>
          </w:tcPr>
          <w:p>
            <w:pPr>
              <w:jc w:val="center"/>
              <w:rPr>
                <w:rFonts w:ascii="Times New Roman" w:hAnsi="Times New Roman" w:eastAsia="宋体"/>
                <w:b/>
                <w:color w:val="FFFFFF"/>
                <w:kern w:val="0"/>
              </w:rPr>
            </w:pPr>
            <w:r>
              <w:rPr>
                <w:rFonts w:hint="eastAsia" w:ascii="Times New Roman" w:hAnsi="Times New Roman" w:eastAsia="宋体"/>
                <w:b/>
                <w:color w:val="FFFFFF"/>
                <w:kern w:val="0"/>
              </w:rPr>
              <w:t>北京生源</w:t>
            </w:r>
          </w:p>
        </w:tc>
        <w:tc>
          <w:tcPr>
            <w:tcW w:w="1332" w:type="dxa"/>
            <w:gridSpan w:val="2"/>
            <w:shd w:val="clear" w:color="auto" w:fill="4BACC6"/>
          </w:tcPr>
          <w:p>
            <w:pPr>
              <w:jc w:val="center"/>
              <w:rPr>
                <w:rFonts w:ascii="Times New Roman" w:hAnsi="Times New Roman" w:eastAsia="宋体"/>
                <w:b/>
                <w:color w:val="FFFFFF"/>
                <w:kern w:val="0"/>
              </w:rPr>
            </w:pPr>
            <w:r>
              <w:rPr>
                <w:rFonts w:hint="eastAsia" w:ascii="Times New Roman" w:hAnsi="Times New Roman" w:eastAsia="宋体"/>
                <w:b/>
                <w:color w:val="FFFFFF"/>
                <w:kern w:val="0"/>
              </w:rPr>
              <w:t>京外生源</w:t>
            </w:r>
          </w:p>
        </w:tc>
        <w:tc>
          <w:tcPr>
            <w:tcW w:w="1452" w:type="dxa"/>
            <w:gridSpan w:val="2"/>
            <w:shd w:val="clear" w:color="auto" w:fill="4BACC6"/>
          </w:tcPr>
          <w:p>
            <w:pPr>
              <w:jc w:val="center"/>
              <w:rPr>
                <w:rFonts w:ascii="Times New Roman" w:hAnsi="Times New Roman" w:eastAsia="宋体"/>
                <w:b/>
                <w:color w:val="FFFFFF"/>
                <w:kern w:val="0"/>
              </w:rPr>
            </w:pPr>
            <w:r>
              <w:rPr>
                <w:rFonts w:hint="eastAsia" w:ascii="Times New Roman" w:hAnsi="Times New Roman" w:eastAsia="宋体"/>
                <w:b/>
                <w:color w:val="FFFFFF"/>
                <w:kern w:val="0"/>
              </w:rPr>
              <w:t>北京生源</w:t>
            </w:r>
          </w:p>
        </w:tc>
        <w:tc>
          <w:tcPr>
            <w:tcW w:w="1452" w:type="dxa"/>
            <w:gridSpan w:val="2"/>
            <w:shd w:val="clear" w:color="auto" w:fill="4BACC6"/>
          </w:tcPr>
          <w:p>
            <w:pPr>
              <w:jc w:val="center"/>
              <w:rPr>
                <w:rFonts w:ascii="Times New Roman" w:hAnsi="Times New Roman" w:eastAsia="宋体"/>
                <w:b/>
                <w:color w:val="FFFFFF"/>
                <w:kern w:val="0"/>
              </w:rPr>
            </w:pPr>
            <w:r>
              <w:rPr>
                <w:rFonts w:hint="eastAsia" w:ascii="Times New Roman" w:hAnsi="Times New Roman" w:eastAsia="宋体"/>
                <w:b/>
                <w:color w:val="FFFFFF"/>
                <w:kern w:val="0"/>
              </w:rPr>
              <w:t>京外生源</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15" w:hRule="atLeast"/>
          <w:jc w:val="center"/>
        </w:trPr>
        <w:tc>
          <w:tcPr>
            <w:tcW w:w="939" w:type="dxa"/>
            <w:vMerge w:val="continue"/>
            <w:shd w:val="clear" w:color="auto" w:fill="4BACC6" w:themeFill="accent5"/>
          </w:tcPr>
          <w:p>
            <w:pPr>
              <w:rPr>
                <w:rFonts w:ascii="Times New Roman" w:hAnsi="Times New Roman" w:eastAsia="宋体"/>
                <w:b/>
                <w:bCs/>
                <w:color w:val="FFFFFF"/>
                <w:kern w:val="0"/>
              </w:rPr>
            </w:pPr>
          </w:p>
        </w:tc>
        <w:tc>
          <w:tcPr>
            <w:tcW w:w="2136" w:type="dxa"/>
            <w:vMerge w:val="continue"/>
            <w:shd w:val="clear" w:color="auto" w:fill="4BACC6" w:themeFill="accent5"/>
          </w:tcPr>
          <w:p>
            <w:pPr>
              <w:rPr>
                <w:rFonts w:ascii="Times New Roman" w:hAnsi="Times New Roman" w:eastAsia="宋体"/>
                <w:color w:val="FFFFFF"/>
                <w:kern w:val="0"/>
              </w:rPr>
            </w:pPr>
          </w:p>
        </w:tc>
        <w:tc>
          <w:tcPr>
            <w:tcW w:w="1332" w:type="dxa"/>
            <w:gridSpan w:val="2"/>
            <w:shd w:val="clear" w:color="auto" w:fill="4BACC6" w:themeFill="accent5"/>
          </w:tcPr>
          <w:p>
            <w:pPr>
              <w:pStyle w:val="123"/>
              <w:ind w:firstLine="0" w:firstLineChars="0"/>
              <w:jc w:val="center"/>
              <w:rPr>
                <w:b/>
                <w:color w:val="FFFFFF" w:themeColor="background1"/>
              </w:rPr>
            </w:pPr>
            <w:r>
              <w:rPr>
                <w:rFonts w:hint="eastAsia"/>
                <w:b/>
                <w:color w:val="FFFFFF" w:themeColor="background1"/>
              </w:rPr>
              <w:t>（N=</w:t>
            </w:r>
            <w:r>
              <w:rPr>
                <w:b/>
                <w:color w:val="FFFFFF" w:themeColor="background1"/>
              </w:rPr>
              <w:t>64</w:t>
            </w:r>
            <w:r>
              <w:rPr>
                <w:rFonts w:hint="eastAsia"/>
                <w:b/>
                <w:color w:val="FFFFFF" w:themeColor="background1"/>
              </w:rPr>
              <w:t>）</w:t>
            </w:r>
          </w:p>
        </w:tc>
        <w:tc>
          <w:tcPr>
            <w:tcW w:w="1332" w:type="dxa"/>
            <w:gridSpan w:val="2"/>
            <w:shd w:val="clear" w:color="auto" w:fill="4BACC6" w:themeFill="accent5"/>
          </w:tcPr>
          <w:p>
            <w:pPr>
              <w:pStyle w:val="123"/>
              <w:ind w:firstLine="0" w:firstLineChars="0"/>
              <w:jc w:val="center"/>
              <w:rPr>
                <w:b/>
                <w:color w:val="FFFFFF" w:themeColor="background1"/>
              </w:rPr>
            </w:pPr>
            <w:r>
              <w:rPr>
                <w:rFonts w:hint="eastAsia"/>
                <w:b/>
                <w:color w:val="FFFFFF" w:themeColor="background1"/>
              </w:rPr>
              <w:t>（N=</w:t>
            </w:r>
            <w:r>
              <w:rPr>
                <w:b/>
                <w:color w:val="FFFFFF" w:themeColor="background1"/>
              </w:rPr>
              <w:t>506</w:t>
            </w:r>
            <w:r>
              <w:rPr>
                <w:rFonts w:hint="eastAsia"/>
                <w:b/>
                <w:color w:val="FFFFFF" w:themeColor="background1"/>
              </w:rPr>
              <w:t>）</w:t>
            </w:r>
          </w:p>
        </w:tc>
        <w:tc>
          <w:tcPr>
            <w:tcW w:w="1452" w:type="dxa"/>
            <w:gridSpan w:val="2"/>
            <w:shd w:val="clear" w:color="auto" w:fill="4BACC6" w:themeFill="accent5"/>
          </w:tcPr>
          <w:p>
            <w:pPr>
              <w:pStyle w:val="123"/>
              <w:ind w:firstLine="0" w:firstLineChars="0"/>
              <w:jc w:val="center"/>
              <w:rPr>
                <w:b/>
                <w:color w:val="FFFFFF" w:themeColor="background1"/>
              </w:rPr>
            </w:pPr>
            <w:r>
              <w:rPr>
                <w:rFonts w:hint="eastAsia"/>
                <w:b/>
                <w:color w:val="FFFFFF" w:themeColor="background1"/>
              </w:rPr>
              <w:t>（N=</w:t>
            </w:r>
            <w:r>
              <w:rPr>
                <w:b/>
                <w:color w:val="FFFFFF" w:themeColor="background1"/>
              </w:rPr>
              <w:t>41</w:t>
            </w:r>
            <w:r>
              <w:rPr>
                <w:rFonts w:hint="eastAsia"/>
                <w:b/>
                <w:color w:val="FFFFFF" w:themeColor="background1"/>
              </w:rPr>
              <w:t>）</w:t>
            </w:r>
          </w:p>
        </w:tc>
        <w:tc>
          <w:tcPr>
            <w:tcW w:w="1452" w:type="dxa"/>
            <w:gridSpan w:val="2"/>
            <w:shd w:val="clear" w:color="auto" w:fill="4BACC6" w:themeFill="accent5"/>
          </w:tcPr>
          <w:p>
            <w:pPr>
              <w:pStyle w:val="123"/>
              <w:ind w:firstLine="0" w:firstLineChars="0"/>
              <w:jc w:val="center"/>
              <w:rPr>
                <w:b/>
                <w:color w:val="FFFFFF" w:themeColor="background1"/>
              </w:rPr>
            </w:pPr>
            <w:r>
              <w:rPr>
                <w:rFonts w:hint="eastAsia"/>
                <w:b/>
                <w:color w:val="FFFFFF" w:themeColor="background1"/>
              </w:rPr>
              <w:t>（N=</w:t>
            </w:r>
            <w:r>
              <w:rPr>
                <w:b/>
                <w:color w:val="FFFFFF" w:themeColor="background1"/>
              </w:rPr>
              <w:t>392</w:t>
            </w:r>
            <w:r>
              <w:rPr>
                <w:rFonts w:hint="eastAsia"/>
                <w:b/>
                <w:color w:val="FFFFFF" w:themeColor="background1"/>
              </w:rPr>
              <w:t>）</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15" w:hRule="atLeast"/>
          <w:jc w:val="center"/>
        </w:trPr>
        <w:tc>
          <w:tcPr>
            <w:tcW w:w="939" w:type="dxa"/>
            <w:vMerge w:val="continue"/>
            <w:shd w:val="clear" w:color="auto" w:fill="4BACC6" w:themeFill="accent5"/>
          </w:tcPr>
          <w:p>
            <w:pPr>
              <w:rPr>
                <w:rFonts w:ascii="Times New Roman" w:hAnsi="Times New Roman" w:eastAsia="宋体"/>
                <w:b/>
                <w:bCs/>
                <w:color w:val="FFFFFF"/>
                <w:kern w:val="0"/>
              </w:rPr>
            </w:pPr>
          </w:p>
        </w:tc>
        <w:tc>
          <w:tcPr>
            <w:tcW w:w="2136" w:type="dxa"/>
            <w:vMerge w:val="continue"/>
            <w:shd w:val="clear" w:color="auto" w:fill="4BACC6" w:themeFill="accent5"/>
          </w:tcPr>
          <w:p>
            <w:pPr>
              <w:rPr>
                <w:rFonts w:ascii="Times New Roman" w:hAnsi="Times New Roman" w:eastAsia="宋体"/>
                <w:color w:val="FFFFFF"/>
                <w:kern w:val="0"/>
              </w:rPr>
            </w:pPr>
          </w:p>
        </w:tc>
        <w:tc>
          <w:tcPr>
            <w:tcW w:w="696" w:type="dxa"/>
            <w:shd w:val="clear" w:color="auto" w:fill="4BACC6" w:themeFill="accent5"/>
          </w:tcPr>
          <w:p>
            <w:pPr>
              <w:jc w:val="center"/>
              <w:rPr>
                <w:rFonts w:ascii="Times New Roman" w:hAnsi="Times New Roman" w:eastAsia="宋体"/>
                <w:color w:val="FFFFFF"/>
                <w:kern w:val="0"/>
              </w:rPr>
            </w:pPr>
            <w:r>
              <w:rPr>
                <w:rFonts w:hint="eastAsia" w:ascii="Times New Roman" w:hAnsi="Times New Roman" w:eastAsia="宋体"/>
                <w:color w:val="FFFFFF"/>
                <w:kern w:val="0"/>
              </w:rPr>
              <w:t>人数</w:t>
            </w:r>
          </w:p>
        </w:tc>
        <w:tc>
          <w:tcPr>
            <w:tcW w:w="636" w:type="dxa"/>
            <w:shd w:val="clear" w:color="auto" w:fill="4BACC6" w:themeFill="accent5"/>
          </w:tcPr>
          <w:p>
            <w:pPr>
              <w:jc w:val="center"/>
              <w:rPr>
                <w:rFonts w:ascii="Times New Roman" w:hAnsi="Times New Roman" w:eastAsia="宋体"/>
                <w:color w:val="FFFFFF"/>
                <w:kern w:val="0"/>
              </w:rPr>
            </w:pPr>
            <w:r>
              <w:rPr>
                <w:rFonts w:ascii="Times New Roman" w:hAnsi="Times New Roman" w:eastAsia="宋体"/>
                <w:color w:val="FFFFFF"/>
                <w:kern w:val="0"/>
              </w:rPr>
              <w:t>%</w:t>
            </w:r>
          </w:p>
        </w:tc>
        <w:tc>
          <w:tcPr>
            <w:tcW w:w="696" w:type="dxa"/>
            <w:shd w:val="clear" w:color="auto" w:fill="4BACC6" w:themeFill="accent5"/>
          </w:tcPr>
          <w:p>
            <w:pPr>
              <w:jc w:val="center"/>
              <w:rPr>
                <w:rFonts w:ascii="Times New Roman" w:hAnsi="Times New Roman" w:eastAsia="宋体"/>
                <w:color w:val="FFFFFF"/>
                <w:kern w:val="0"/>
              </w:rPr>
            </w:pPr>
            <w:r>
              <w:rPr>
                <w:rFonts w:hint="eastAsia" w:ascii="Times New Roman" w:hAnsi="Times New Roman" w:eastAsia="宋体"/>
                <w:color w:val="FFFFFF"/>
                <w:kern w:val="0"/>
              </w:rPr>
              <w:t>人数</w:t>
            </w:r>
          </w:p>
        </w:tc>
        <w:tc>
          <w:tcPr>
            <w:tcW w:w="636" w:type="dxa"/>
            <w:shd w:val="clear" w:color="auto" w:fill="4BACC6" w:themeFill="accent5"/>
          </w:tcPr>
          <w:p>
            <w:pPr>
              <w:jc w:val="center"/>
              <w:rPr>
                <w:rFonts w:ascii="Times New Roman" w:hAnsi="Times New Roman" w:eastAsia="宋体"/>
                <w:color w:val="FFFFFF"/>
                <w:kern w:val="0"/>
              </w:rPr>
            </w:pPr>
            <w:r>
              <w:rPr>
                <w:rFonts w:hint="eastAsia" w:ascii="Times New Roman" w:hAnsi="Times New Roman" w:eastAsia="宋体"/>
                <w:color w:val="FFFFFF"/>
                <w:kern w:val="0"/>
              </w:rPr>
              <w:t>%</w:t>
            </w:r>
          </w:p>
        </w:tc>
        <w:tc>
          <w:tcPr>
            <w:tcW w:w="696" w:type="dxa"/>
            <w:shd w:val="clear" w:color="auto" w:fill="4BACC6" w:themeFill="accent5"/>
          </w:tcPr>
          <w:p>
            <w:pPr>
              <w:jc w:val="center"/>
              <w:rPr>
                <w:rFonts w:ascii="Times New Roman" w:hAnsi="Times New Roman" w:eastAsia="宋体"/>
                <w:color w:val="FFFFFF"/>
                <w:kern w:val="0"/>
              </w:rPr>
            </w:pPr>
            <w:r>
              <w:rPr>
                <w:rFonts w:hint="eastAsia" w:ascii="Times New Roman" w:hAnsi="Times New Roman" w:eastAsia="宋体"/>
                <w:color w:val="FFFFFF"/>
                <w:kern w:val="0"/>
              </w:rPr>
              <w:t>人数</w:t>
            </w:r>
          </w:p>
        </w:tc>
        <w:tc>
          <w:tcPr>
            <w:tcW w:w="756" w:type="dxa"/>
            <w:shd w:val="clear" w:color="auto" w:fill="4BACC6" w:themeFill="accent5"/>
          </w:tcPr>
          <w:p>
            <w:pPr>
              <w:jc w:val="center"/>
              <w:rPr>
                <w:rFonts w:ascii="Times New Roman" w:hAnsi="Times New Roman" w:eastAsia="宋体"/>
                <w:color w:val="FFFFFF"/>
                <w:kern w:val="0"/>
              </w:rPr>
            </w:pPr>
            <w:r>
              <w:rPr>
                <w:rFonts w:ascii="Times New Roman" w:hAnsi="Times New Roman" w:eastAsia="宋体"/>
                <w:color w:val="FFFFFF"/>
                <w:kern w:val="0"/>
              </w:rPr>
              <w:t>%</w:t>
            </w:r>
          </w:p>
        </w:tc>
        <w:tc>
          <w:tcPr>
            <w:tcW w:w="696" w:type="dxa"/>
            <w:shd w:val="clear" w:color="auto" w:fill="4BACC6" w:themeFill="accent5"/>
          </w:tcPr>
          <w:p>
            <w:pPr>
              <w:jc w:val="center"/>
              <w:rPr>
                <w:rFonts w:ascii="Times New Roman" w:hAnsi="Times New Roman" w:eastAsia="宋体"/>
                <w:color w:val="FFFFFF"/>
                <w:kern w:val="0"/>
              </w:rPr>
            </w:pPr>
            <w:r>
              <w:rPr>
                <w:rFonts w:hint="eastAsia" w:ascii="Times New Roman" w:hAnsi="Times New Roman" w:eastAsia="宋体"/>
                <w:color w:val="FFFFFF"/>
                <w:kern w:val="0"/>
              </w:rPr>
              <w:t>人数</w:t>
            </w:r>
          </w:p>
        </w:tc>
        <w:tc>
          <w:tcPr>
            <w:tcW w:w="756" w:type="dxa"/>
            <w:shd w:val="clear" w:color="auto" w:fill="4BACC6" w:themeFill="accent5"/>
          </w:tcPr>
          <w:p>
            <w:pPr>
              <w:jc w:val="center"/>
              <w:rPr>
                <w:rFonts w:ascii="Times New Roman" w:hAnsi="Times New Roman" w:eastAsia="宋体"/>
                <w:color w:val="FFFFFF"/>
                <w:kern w:val="0"/>
              </w:rPr>
            </w:pPr>
            <w:r>
              <w:rPr>
                <w:rFonts w:hint="eastAsia" w:ascii="Times New Roman" w:hAnsi="Times New Roman" w:eastAsia="宋体"/>
                <w:color w:val="FFFFFF"/>
                <w:kern w:val="0"/>
              </w:rPr>
              <w:t>%</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restart"/>
            <w:shd w:val="clear" w:color="auto" w:fill="FFFFFF" w:themeFill="background1"/>
            <w:vAlign w:val="center"/>
          </w:tcPr>
          <w:p>
            <w:pPr>
              <w:jc w:val="center"/>
              <w:rPr>
                <w:rFonts w:ascii="Times New Roman" w:hAnsi="Times New Roman" w:eastAsia="宋体"/>
                <w:b/>
                <w:bCs/>
                <w:kern w:val="0"/>
              </w:rPr>
            </w:pPr>
            <w:r>
              <w:rPr>
                <w:rFonts w:hint="eastAsia" w:ascii="Times New Roman" w:hAnsi="Times New Roman" w:eastAsia="宋体"/>
                <w:b/>
                <w:bCs/>
                <w:kern w:val="0"/>
              </w:rPr>
              <w:t>就业</w:t>
            </w:r>
          </w:p>
        </w:tc>
        <w:tc>
          <w:tcPr>
            <w:tcW w:w="2136" w:type="dxa"/>
          </w:tcPr>
          <w:p>
            <w:pPr>
              <w:rPr>
                <w:rFonts w:ascii="Times New Roman" w:hAnsi="Times New Roman" w:eastAsia="宋体"/>
                <w:kern w:val="0"/>
              </w:rPr>
            </w:pPr>
            <w:r>
              <w:rPr>
                <w:rFonts w:hint="eastAsia" w:ascii="Times New Roman" w:hAnsi="Times New Roman" w:eastAsia="宋体"/>
                <w:kern w:val="0"/>
              </w:rPr>
              <w:t>签署三方协议</w:t>
            </w:r>
          </w:p>
        </w:tc>
        <w:tc>
          <w:tcPr>
            <w:tcW w:w="69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24</w:t>
            </w:r>
          </w:p>
        </w:tc>
        <w:tc>
          <w:tcPr>
            <w:tcW w:w="63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37.5</w:t>
            </w:r>
          </w:p>
        </w:tc>
        <w:tc>
          <w:tcPr>
            <w:tcW w:w="69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54</w:t>
            </w:r>
          </w:p>
        </w:tc>
        <w:tc>
          <w:tcPr>
            <w:tcW w:w="63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10.7</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11</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26.83</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63</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16.07</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签订劳动合同</w:t>
            </w:r>
          </w:p>
        </w:tc>
        <w:tc>
          <w:tcPr>
            <w:tcW w:w="69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6</w:t>
            </w:r>
          </w:p>
        </w:tc>
        <w:tc>
          <w:tcPr>
            <w:tcW w:w="63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9.4</w:t>
            </w:r>
          </w:p>
        </w:tc>
        <w:tc>
          <w:tcPr>
            <w:tcW w:w="69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55</w:t>
            </w:r>
          </w:p>
        </w:tc>
        <w:tc>
          <w:tcPr>
            <w:tcW w:w="63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10.9</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8</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19.51</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54</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13.78</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tcPr>
          <w:p>
            <w:pPr>
              <w:rPr>
                <w:rFonts w:ascii="Times New Roman" w:hAnsi="Times New Roman" w:eastAsia="宋体"/>
                <w:kern w:val="0"/>
              </w:rPr>
            </w:pPr>
            <w:r>
              <w:rPr>
                <w:rFonts w:hint="eastAsia" w:ascii="Times New Roman" w:hAnsi="Times New Roman" w:eastAsia="宋体"/>
                <w:kern w:val="0"/>
              </w:rPr>
              <w:t>单位开具用人证明</w:t>
            </w:r>
          </w:p>
        </w:tc>
        <w:tc>
          <w:tcPr>
            <w:tcW w:w="69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w:t>
            </w:r>
          </w:p>
        </w:tc>
        <w:tc>
          <w:tcPr>
            <w:tcW w:w="63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3.1</w:t>
            </w:r>
          </w:p>
        </w:tc>
        <w:tc>
          <w:tcPr>
            <w:tcW w:w="69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25</w:t>
            </w:r>
          </w:p>
        </w:tc>
        <w:tc>
          <w:tcPr>
            <w:tcW w:w="63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4.9</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3</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7.32</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27</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6.89</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自由职业</w:t>
            </w:r>
          </w:p>
        </w:tc>
        <w:tc>
          <w:tcPr>
            <w:tcW w:w="69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22</w:t>
            </w:r>
          </w:p>
        </w:tc>
        <w:tc>
          <w:tcPr>
            <w:tcW w:w="63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34.4</w:t>
            </w:r>
          </w:p>
        </w:tc>
        <w:tc>
          <w:tcPr>
            <w:tcW w:w="69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294</w:t>
            </w:r>
          </w:p>
        </w:tc>
        <w:tc>
          <w:tcPr>
            <w:tcW w:w="63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58.1</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14</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34.15</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182</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46.43</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tcPr>
          <w:p>
            <w:pPr>
              <w:rPr>
                <w:rFonts w:ascii="Times New Roman" w:hAnsi="Times New Roman" w:eastAsia="宋体"/>
                <w:kern w:val="0"/>
              </w:rPr>
            </w:pPr>
            <w:r>
              <w:rPr>
                <w:rFonts w:hint="eastAsia" w:ascii="Times New Roman" w:hAnsi="Times New Roman" w:eastAsia="宋体"/>
                <w:kern w:val="0"/>
              </w:rPr>
              <w:t>自主创业</w:t>
            </w:r>
          </w:p>
        </w:tc>
        <w:tc>
          <w:tcPr>
            <w:tcW w:w="69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4</w:t>
            </w:r>
          </w:p>
        </w:tc>
        <w:tc>
          <w:tcPr>
            <w:tcW w:w="63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6.3</w:t>
            </w:r>
          </w:p>
        </w:tc>
        <w:tc>
          <w:tcPr>
            <w:tcW w:w="69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9</w:t>
            </w:r>
          </w:p>
        </w:tc>
        <w:tc>
          <w:tcPr>
            <w:tcW w:w="63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1.8</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4</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9.76</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9</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2.30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restart"/>
            <w:shd w:val="clear" w:color="auto" w:fill="FFFFFF" w:themeFill="background1"/>
            <w:vAlign w:val="center"/>
          </w:tcPr>
          <w:p>
            <w:pPr>
              <w:jc w:val="center"/>
              <w:rPr>
                <w:rFonts w:ascii="Times New Roman" w:hAnsi="Times New Roman" w:eastAsia="宋体"/>
                <w:b/>
                <w:bCs/>
                <w:kern w:val="0"/>
              </w:rPr>
            </w:pPr>
            <w:r>
              <w:rPr>
                <w:rFonts w:hint="eastAsia" w:ascii="Times New Roman" w:hAnsi="Times New Roman" w:eastAsia="宋体"/>
                <w:b/>
                <w:bCs/>
                <w:kern w:val="0"/>
              </w:rPr>
              <w:t>深造</w:t>
            </w:r>
          </w:p>
        </w:tc>
        <w:tc>
          <w:tcPr>
            <w:tcW w:w="2136"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国内升学</w:t>
            </w:r>
          </w:p>
        </w:tc>
        <w:tc>
          <w:tcPr>
            <w:tcW w:w="69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w:t>
            </w:r>
          </w:p>
        </w:tc>
        <w:tc>
          <w:tcPr>
            <w:tcW w:w="63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3.1</w:t>
            </w:r>
          </w:p>
        </w:tc>
        <w:tc>
          <w:tcPr>
            <w:tcW w:w="69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31</w:t>
            </w:r>
          </w:p>
        </w:tc>
        <w:tc>
          <w:tcPr>
            <w:tcW w:w="63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6.1</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2.44</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38</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9.69</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tcPr>
          <w:p>
            <w:pPr>
              <w:rPr>
                <w:rFonts w:ascii="Times New Roman" w:hAnsi="Times New Roman" w:eastAsia="宋体"/>
                <w:kern w:val="0"/>
              </w:rPr>
            </w:pPr>
            <w:r>
              <w:rPr>
                <w:rFonts w:hint="eastAsia" w:ascii="Times New Roman" w:hAnsi="Times New Roman" w:eastAsia="宋体"/>
                <w:kern w:val="0"/>
              </w:rPr>
              <w:t>出国（境）留学</w:t>
            </w:r>
          </w:p>
        </w:tc>
        <w:tc>
          <w:tcPr>
            <w:tcW w:w="69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w:t>
            </w:r>
          </w:p>
        </w:tc>
        <w:tc>
          <w:tcPr>
            <w:tcW w:w="63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3.1</w:t>
            </w:r>
          </w:p>
        </w:tc>
        <w:tc>
          <w:tcPr>
            <w:tcW w:w="69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13</w:t>
            </w:r>
          </w:p>
        </w:tc>
        <w:tc>
          <w:tcPr>
            <w:tcW w:w="63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2.6</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0.00</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10</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2.55</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restart"/>
            <w:shd w:val="clear" w:color="auto" w:fill="FFFFFF" w:themeFill="background1"/>
            <w:vAlign w:val="center"/>
          </w:tcPr>
          <w:p>
            <w:pPr>
              <w:jc w:val="center"/>
              <w:rPr>
                <w:rFonts w:ascii="Times New Roman" w:hAnsi="Times New Roman" w:eastAsia="宋体"/>
                <w:b/>
                <w:bCs/>
                <w:kern w:val="0"/>
              </w:rPr>
            </w:pPr>
            <w:r>
              <w:rPr>
                <w:rFonts w:hint="eastAsia" w:ascii="Times New Roman" w:hAnsi="Times New Roman" w:eastAsia="宋体"/>
                <w:b/>
                <w:bCs/>
                <w:kern w:val="0"/>
              </w:rPr>
              <w:t>未就业</w:t>
            </w:r>
          </w:p>
        </w:tc>
        <w:tc>
          <w:tcPr>
            <w:tcW w:w="2136"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求职中</w:t>
            </w:r>
          </w:p>
        </w:tc>
        <w:tc>
          <w:tcPr>
            <w:tcW w:w="69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w:t>
            </w:r>
          </w:p>
        </w:tc>
        <w:tc>
          <w:tcPr>
            <w:tcW w:w="63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3.1</w:t>
            </w:r>
          </w:p>
        </w:tc>
        <w:tc>
          <w:tcPr>
            <w:tcW w:w="69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12</w:t>
            </w:r>
          </w:p>
        </w:tc>
        <w:tc>
          <w:tcPr>
            <w:tcW w:w="63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2.4</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0.00</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vAlign w:val="center"/>
          </w:tcPr>
          <w:p>
            <w:pPr>
              <w:pStyle w:val="53"/>
              <w:rPr>
                <w:kern w:val="0"/>
              </w:rPr>
            </w:pPr>
            <w:r>
              <w:rPr>
                <w:rFonts w:hint="eastAsia"/>
                <w:kern w:val="0"/>
              </w:rPr>
              <w:t>拟升学不就业</w:t>
            </w:r>
          </w:p>
        </w:tc>
        <w:tc>
          <w:tcPr>
            <w:tcW w:w="69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63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0.0</w:t>
            </w:r>
          </w:p>
        </w:tc>
        <w:tc>
          <w:tcPr>
            <w:tcW w:w="69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4</w:t>
            </w:r>
          </w:p>
        </w:tc>
        <w:tc>
          <w:tcPr>
            <w:tcW w:w="63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0.8</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0.00</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5</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1.28</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shd w:val="clear" w:color="auto" w:fill="DAEEF3" w:themeFill="accent5" w:themeFillTint="33"/>
            <w:vAlign w:val="center"/>
          </w:tcPr>
          <w:p>
            <w:pPr>
              <w:pStyle w:val="53"/>
              <w:rPr>
                <w:kern w:val="0"/>
              </w:rPr>
            </w:pPr>
            <w:r>
              <w:rPr>
                <w:rFonts w:hint="eastAsia"/>
                <w:kern w:val="0"/>
              </w:rPr>
              <w:t>拟出国不就业</w:t>
            </w:r>
          </w:p>
        </w:tc>
        <w:tc>
          <w:tcPr>
            <w:tcW w:w="69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63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0.0</w:t>
            </w:r>
          </w:p>
        </w:tc>
        <w:tc>
          <w:tcPr>
            <w:tcW w:w="69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7</w:t>
            </w:r>
          </w:p>
        </w:tc>
        <w:tc>
          <w:tcPr>
            <w:tcW w:w="63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1.4</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0.00</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4</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1.02</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vAlign w:val="center"/>
          </w:tcPr>
          <w:p>
            <w:pPr>
              <w:pStyle w:val="53"/>
              <w:rPr>
                <w:kern w:val="0"/>
              </w:rPr>
            </w:pPr>
            <w:r>
              <w:rPr>
                <w:rFonts w:hint="eastAsia"/>
                <w:kern w:val="0"/>
              </w:rPr>
              <w:t>暂不就业</w:t>
            </w:r>
          </w:p>
        </w:tc>
        <w:tc>
          <w:tcPr>
            <w:tcW w:w="69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63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0.0</w:t>
            </w:r>
          </w:p>
        </w:tc>
        <w:tc>
          <w:tcPr>
            <w:tcW w:w="69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w:t>
            </w:r>
          </w:p>
        </w:tc>
        <w:tc>
          <w:tcPr>
            <w:tcW w:w="63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0.4</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0.00</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0.00</w:t>
            </w:r>
          </w:p>
        </w:tc>
      </w:tr>
      <w:bookmarkEnd w:id="54"/>
    </w:tbl>
    <w:p/>
    <w:p>
      <w:pPr>
        <w:pStyle w:val="67"/>
        <w:spacing w:before="156" w:after="156"/>
        <w:ind w:left="240"/>
      </w:pPr>
      <w:r>
        <w:rPr>
          <w:rFonts w:hint="eastAsia"/>
        </w:rPr>
        <w:t>4</w:t>
      </w:r>
      <w:r>
        <w:t>.</w:t>
      </w:r>
      <w:r>
        <w:rPr>
          <w:rFonts w:hint="eastAsia"/>
        </w:rPr>
        <w:t>不同学历层次毕业生</w:t>
      </w:r>
      <w:bookmarkEnd w:id="46"/>
      <w:r>
        <w:rPr>
          <w:rFonts w:hint="eastAsia"/>
        </w:rPr>
        <w:t>就业率</w:t>
      </w:r>
    </w:p>
    <w:p>
      <w:pPr>
        <w:pStyle w:val="41"/>
        <w:ind w:firstLine="480"/>
      </w:pPr>
      <w:bookmarkStart w:id="55" w:name="_Toc406677044"/>
      <w:bookmarkStart w:id="56" w:name="_Toc399157313"/>
      <w:r>
        <w:rPr>
          <w:rFonts w:hint="eastAsia"/>
        </w:rPr>
        <w:t>本校2017届毕业生中本科毕业生、硕士毕业生、博士毕业生的就业率分别为</w:t>
      </w:r>
      <w:bookmarkStart w:id="57" w:name="PO_2214A"/>
      <w:bookmarkEnd w:id="57"/>
      <w:bookmarkStart w:id="58" w:name="PO_2214B"/>
      <w:bookmarkEnd w:id="58"/>
      <w:r>
        <w:t>97.53%</w:t>
      </w:r>
      <w:r>
        <w:rPr>
          <w:rFonts w:hint="eastAsia"/>
        </w:rPr>
        <w:t>、</w:t>
      </w:r>
      <w:bookmarkStart w:id="59" w:name="PO_2214C"/>
      <w:bookmarkEnd w:id="59"/>
      <w:r>
        <w:t>98.88%</w:t>
      </w:r>
      <w:r>
        <w:rPr>
          <w:rFonts w:hint="eastAsia"/>
        </w:rPr>
        <w:t>、</w:t>
      </w:r>
      <w:bookmarkStart w:id="60" w:name="PO_2214D"/>
      <w:bookmarkEnd w:id="60"/>
      <w:r>
        <w:t>100.00%</w:t>
      </w:r>
      <w:r>
        <w:rPr>
          <w:rFonts w:hint="eastAsia"/>
        </w:rPr>
        <w:t>，博士毕业生的比例最高，为</w:t>
      </w:r>
      <w:r>
        <w:t>100.00</w:t>
      </w:r>
      <w:r>
        <w:rPr>
          <w:rFonts w:hint="eastAsia"/>
        </w:rPr>
        <w:t>%；本科毕业生的比例最低，为</w:t>
      </w:r>
      <w:r>
        <w:t>97.53</w:t>
      </w:r>
      <w:r>
        <w:rPr>
          <w:rFonts w:hint="eastAsia"/>
        </w:rPr>
        <w:t>%。</w:t>
      </w:r>
    </w:p>
    <w:p>
      <w:pPr>
        <w:pStyle w:val="41"/>
        <w:ind w:firstLine="480"/>
      </w:pPr>
      <w:r>
        <w:rPr>
          <w:rFonts w:hint="eastAsia"/>
        </w:rPr>
        <w:t>具体来看，</w:t>
      </w:r>
      <w:bookmarkStart w:id="61" w:name="PO_2214E"/>
      <w:bookmarkEnd w:id="61"/>
      <w:r>
        <w:rPr>
          <w:rFonts w:hint="eastAsia"/>
        </w:rPr>
        <w:t>选择自由职业的毕业生中，本科生比例最高；选择签署三方协议的毕业生中，博士生比例最高。</w:t>
      </w:r>
    </w:p>
    <w:p>
      <w:pPr>
        <w:pStyle w:val="55"/>
        <w:adjustRightInd/>
        <w:snapToGrid/>
        <w:spacing w:before="312" w:after="156"/>
        <w:ind w:left="420" w:hanging="420"/>
      </w:pPr>
      <w:bookmarkStart w:id="62" w:name="PO_2214H"/>
      <w:bookmarkEnd w:id="62"/>
      <w:r>
        <w:rPr>
          <w:rFonts w:hint="eastAsia"/>
        </w:rPr>
        <w:t>不同学历层次毕业生毕业去向</w:t>
      </w:r>
    </w:p>
    <w:tbl>
      <w:tblPr>
        <w:tblStyle w:val="144"/>
        <w:tblW w:w="7431" w:type="dxa"/>
        <w:jc w:val="center"/>
        <w:tblInd w:w="0"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939"/>
        <w:gridCol w:w="2136"/>
        <w:gridCol w:w="696"/>
        <w:gridCol w:w="756"/>
        <w:gridCol w:w="696"/>
        <w:gridCol w:w="756"/>
        <w:gridCol w:w="696"/>
        <w:gridCol w:w="756"/>
      </w:tblGrid>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15" w:hRule="atLeast"/>
          <w:jc w:val="center"/>
        </w:trPr>
        <w:tc>
          <w:tcPr>
            <w:tcW w:w="939" w:type="dxa"/>
            <w:vMerge w:val="restart"/>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ind w:firstLine="480"/>
              <w:jc w:val="center"/>
              <w:rPr>
                <w:rFonts w:ascii="Times New Roman" w:hAnsi="Times New Roman" w:eastAsia="宋体"/>
                <w:b/>
                <w:bCs/>
                <w:color w:val="FFFFFF"/>
                <w:kern w:val="0"/>
              </w:rPr>
            </w:pPr>
          </w:p>
        </w:tc>
        <w:tc>
          <w:tcPr>
            <w:tcW w:w="2136" w:type="dxa"/>
            <w:vMerge w:val="restart"/>
            <w:tcBorders>
              <w:top w:val="single" w:color="4BACC6" w:themeColor="accent5" w:sz="4" w:space="0"/>
              <w:bottom w:val="single" w:color="4BACC6" w:themeColor="accent5" w:sz="4" w:space="0"/>
              <w:right w:val="nil"/>
              <w:insideH w:val="single" w:sz="4" w:space="0"/>
              <w:insideV w:val="nil"/>
            </w:tcBorders>
            <w:shd w:val="clear" w:color="auto" w:fill="4BACC6" w:themeFill="accent5"/>
          </w:tcPr>
          <w:p>
            <w:pPr>
              <w:jc w:val="left"/>
              <w:rPr>
                <w:rFonts w:ascii="Times New Roman" w:hAnsi="Times New Roman" w:eastAsia="宋体"/>
                <w:b/>
                <w:bCs/>
                <w:color w:val="FFFFFF"/>
                <w:kern w:val="0"/>
              </w:rPr>
            </w:pPr>
          </w:p>
        </w:tc>
        <w:tc>
          <w:tcPr>
            <w:tcW w:w="1452" w:type="dxa"/>
            <w:gridSpan w:val="2"/>
            <w:tcBorders>
              <w:top w:val="single" w:color="4BACC6" w:themeColor="accent5" w:sz="4" w:space="0"/>
              <w:bottom w:val="single" w:color="4BACC6" w:themeColor="accent5" w:sz="4" w:space="0"/>
              <w:right w:val="nil"/>
              <w:insideH w:val="single" w:sz="4" w:space="0"/>
              <w:insideV w:val="nil"/>
            </w:tcBorders>
            <w:shd w:val="clear" w:color="auto" w:fill="4BACC6" w:themeFill="accent5"/>
          </w:tcPr>
          <w:p>
            <w:pPr>
              <w:jc w:val="center"/>
              <w:rPr>
                <w:rFonts w:ascii="Times New Roman" w:hAnsi="Times New Roman" w:eastAsia="宋体"/>
                <w:b/>
                <w:bCs/>
                <w:color w:val="FFFFFF"/>
                <w:kern w:val="0"/>
              </w:rPr>
            </w:pPr>
            <w:r>
              <w:rPr>
                <w:rFonts w:hint="eastAsia" w:ascii="Times New Roman" w:hAnsi="Times New Roman" w:eastAsia="宋体"/>
                <w:b/>
                <w:bCs/>
                <w:color w:val="FFFFFF"/>
                <w:kern w:val="0"/>
              </w:rPr>
              <w:t>本科生</w:t>
            </w:r>
          </w:p>
        </w:tc>
        <w:tc>
          <w:tcPr>
            <w:tcW w:w="1452" w:type="dxa"/>
            <w:gridSpan w:val="2"/>
            <w:tcBorders>
              <w:top w:val="single" w:color="4BACC6" w:themeColor="accent5" w:sz="4" w:space="0"/>
              <w:bottom w:val="single" w:color="4BACC6" w:themeColor="accent5" w:sz="4" w:space="0"/>
              <w:right w:val="nil"/>
              <w:insideH w:val="single" w:sz="4" w:space="0"/>
              <w:insideV w:val="nil"/>
            </w:tcBorders>
            <w:shd w:val="clear" w:color="auto" w:fill="4BACC6" w:themeFill="accent5"/>
          </w:tcPr>
          <w:p>
            <w:pPr>
              <w:jc w:val="center"/>
              <w:rPr>
                <w:rFonts w:ascii="Times New Roman" w:hAnsi="Times New Roman" w:eastAsia="宋体"/>
                <w:b/>
                <w:bCs/>
                <w:color w:val="FFFFFF"/>
                <w:kern w:val="0"/>
              </w:rPr>
            </w:pPr>
            <w:r>
              <w:rPr>
                <w:rFonts w:hint="eastAsia" w:ascii="Times New Roman" w:hAnsi="Times New Roman" w:eastAsia="宋体"/>
                <w:b/>
                <w:bCs/>
                <w:color w:val="FFFFFF"/>
                <w:kern w:val="0"/>
              </w:rPr>
              <w:t>硕士生</w:t>
            </w:r>
          </w:p>
        </w:tc>
        <w:tc>
          <w:tcPr>
            <w:tcW w:w="1452" w:type="dxa"/>
            <w:gridSpan w:val="2"/>
            <w:tcBorders>
              <w:top w:val="single" w:color="4BACC6" w:themeColor="accent5" w:sz="4" w:space="0"/>
              <w:bottom w:val="single" w:color="4BACC6" w:themeColor="accent5" w:sz="4" w:space="0"/>
              <w:right w:val="single" w:color="4BACC6" w:themeColor="accent5" w:sz="4" w:space="0"/>
              <w:insideH w:val="single" w:sz="4" w:space="0"/>
              <w:insideV w:val="nil"/>
            </w:tcBorders>
            <w:shd w:val="clear" w:color="auto" w:fill="4BACC6" w:themeFill="accent5"/>
          </w:tcPr>
          <w:p>
            <w:pPr>
              <w:jc w:val="center"/>
              <w:rPr>
                <w:rFonts w:ascii="Times New Roman" w:hAnsi="Times New Roman" w:eastAsia="宋体"/>
                <w:b/>
                <w:bCs/>
                <w:color w:val="FFFFFF"/>
                <w:kern w:val="0"/>
              </w:rPr>
            </w:pPr>
            <w:r>
              <w:rPr>
                <w:rFonts w:hint="eastAsia" w:ascii="Times New Roman" w:hAnsi="Times New Roman" w:eastAsia="宋体"/>
                <w:b/>
                <w:bCs/>
                <w:color w:val="FFFFFF"/>
                <w:kern w:val="0"/>
              </w:rPr>
              <w:t>博士生</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15" w:hRule="atLeast"/>
          <w:jc w:val="center"/>
        </w:trPr>
        <w:tc>
          <w:tcPr>
            <w:tcW w:w="939" w:type="dxa"/>
            <w:vMerge w:val="continue"/>
            <w:shd w:val="clear" w:color="auto" w:fill="4BACC6" w:themeFill="accent5"/>
            <w:vAlign w:val="center"/>
          </w:tcPr>
          <w:p>
            <w:pPr>
              <w:jc w:val="center"/>
              <w:rPr>
                <w:rFonts w:ascii="Times New Roman" w:hAnsi="Times New Roman" w:eastAsia="宋体"/>
                <w:b/>
                <w:bCs/>
                <w:color w:val="FFFFFF"/>
                <w:kern w:val="0"/>
              </w:rPr>
            </w:pPr>
          </w:p>
        </w:tc>
        <w:tc>
          <w:tcPr>
            <w:tcW w:w="2136" w:type="dxa"/>
            <w:vMerge w:val="continue"/>
            <w:shd w:val="clear" w:color="auto" w:fill="4BACC6" w:themeFill="accent5"/>
          </w:tcPr>
          <w:p>
            <w:pPr>
              <w:rPr>
                <w:rFonts w:ascii="Times New Roman" w:hAnsi="Times New Roman" w:eastAsia="宋体"/>
                <w:color w:val="FFFFFF"/>
                <w:kern w:val="0"/>
              </w:rPr>
            </w:pPr>
          </w:p>
        </w:tc>
        <w:tc>
          <w:tcPr>
            <w:tcW w:w="1452" w:type="dxa"/>
            <w:gridSpan w:val="2"/>
            <w:shd w:val="clear" w:color="auto" w:fill="4BACC6" w:themeFill="accent5"/>
          </w:tcPr>
          <w:p>
            <w:pPr>
              <w:pStyle w:val="123"/>
              <w:ind w:firstLine="0" w:firstLineChars="0"/>
              <w:jc w:val="center"/>
              <w:rPr>
                <w:b/>
                <w:color w:val="FFFFFF" w:themeColor="background1"/>
              </w:rPr>
            </w:pPr>
            <w:r>
              <w:rPr>
                <w:rFonts w:hint="eastAsia"/>
                <w:b/>
                <w:color w:val="FFFFFF" w:themeColor="background1"/>
              </w:rPr>
              <w:t>（N=</w:t>
            </w:r>
            <w:bookmarkStart w:id="63" w:name="PO_2214H_COL2"/>
            <w:bookmarkEnd w:id="63"/>
            <w:r>
              <w:rPr>
                <w:b/>
                <w:color w:val="FFFFFF" w:themeColor="background1"/>
              </w:rPr>
              <w:t>323</w:t>
            </w:r>
            <w:r>
              <w:rPr>
                <w:rFonts w:hint="eastAsia"/>
                <w:b/>
                <w:color w:val="FFFFFF" w:themeColor="background1"/>
              </w:rPr>
              <w:t>）</w:t>
            </w:r>
          </w:p>
        </w:tc>
        <w:tc>
          <w:tcPr>
            <w:tcW w:w="1452" w:type="dxa"/>
            <w:gridSpan w:val="2"/>
            <w:shd w:val="clear" w:color="auto" w:fill="4BACC6" w:themeFill="accent5"/>
          </w:tcPr>
          <w:p>
            <w:pPr>
              <w:pStyle w:val="123"/>
              <w:ind w:firstLine="0" w:firstLineChars="0"/>
              <w:jc w:val="center"/>
              <w:rPr>
                <w:b/>
                <w:color w:val="FFFFFF" w:themeColor="background1"/>
              </w:rPr>
            </w:pPr>
            <w:r>
              <w:rPr>
                <w:rFonts w:hint="eastAsia"/>
                <w:b/>
                <w:color w:val="FFFFFF" w:themeColor="background1"/>
              </w:rPr>
              <w:t>（N=</w:t>
            </w:r>
            <w:bookmarkStart w:id="64" w:name="PO_2214H_COL3"/>
            <w:bookmarkEnd w:id="64"/>
            <w:r>
              <w:rPr>
                <w:b/>
                <w:color w:val="FFFFFF" w:themeColor="background1"/>
              </w:rPr>
              <w:t>89</w:t>
            </w:r>
            <w:r>
              <w:rPr>
                <w:rFonts w:hint="eastAsia"/>
                <w:b/>
                <w:color w:val="FFFFFF" w:themeColor="background1"/>
              </w:rPr>
              <w:t>）</w:t>
            </w:r>
          </w:p>
        </w:tc>
        <w:tc>
          <w:tcPr>
            <w:tcW w:w="1452" w:type="dxa"/>
            <w:gridSpan w:val="2"/>
            <w:shd w:val="clear" w:color="auto" w:fill="4BACC6" w:themeFill="accent5"/>
          </w:tcPr>
          <w:p>
            <w:pPr>
              <w:pStyle w:val="123"/>
              <w:ind w:firstLine="0" w:firstLineChars="0"/>
              <w:jc w:val="center"/>
              <w:rPr>
                <w:b/>
                <w:color w:val="FFFFFF" w:themeColor="background1"/>
              </w:rPr>
            </w:pPr>
            <w:r>
              <w:rPr>
                <w:rFonts w:hint="eastAsia"/>
                <w:b/>
                <w:color w:val="FFFFFF" w:themeColor="background1"/>
              </w:rPr>
              <w:t>（N=</w:t>
            </w:r>
            <w:bookmarkStart w:id="65" w:name="PO_2214H_COL4"/>
            <w:bookmarkEnd w:id="65"/>
            <w:r>
              <w:rPr>
                <w:b/>
                <w:color w:val="FFFFFF" w:themeColor="background1"/>
              </w:rPr>
              <w:t>21</w:t>
            </w:r>
            <w:r>
              <w:rPr>
                <w:rFonts w:hint="eastAsia"/>
                <w:b/>
                <w:color w:val="FFFFFF" w:themeColor="background1"/>
              </w:rPr>
              <w:t>）</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15" w:hRule="atLeast"/>
          <w:jc w:val="center"/>
        </w:trPr>
        <w:tc>
          <w:tcPr>
            <w:tcW w:w="939" w:type="dxa"/>
            <w:vMerge w:val="continue"/>
            <w:shd w:val="clear" w:color="auto" w:fill="4BACC6" w:themeFill="accent5"/>
            <w:vAlign w:val="center"/>
          </w:tcPr>
          <w:p>
            <w:pPr>
              <w:jc w:val="center"/>
              <w:rPr>
                <w:rFonts w:ascii="Times New Roman" w:hAnsi="Times New Roman" w:eastAsia="宋体"/>
                <w:b/>
                <w:bCs/>
                <w:color w:val="FFFFFF"/>
                <w:kern w:val="0"/>
              </w:rPr>
            </w:pPr>
          </w:p>
        </w:tc>
        <w:tc>
          <w:tcPr>
            <w:tcW w:w="2136" w:type="dxa"/>
            <w:vMerge w:val="continue"/>
            <w:shd w:val="clear" w:color="auto" w:fill="4BACC6" w:themeFill="accent5"/>
          </w:tcPr>
          <w:p>
            <w:pPr>
              <w:rPr>
                <w:rFonts w:ascii="Times New Roman" w:hAnsi="Times New Roman" w:eastAsia="宋体"/>
                <w:color w:val="FFFFFF"/>
                <w:kern w:val="0"/>
              </w:rPr>
            </w:pPr>
          </w:p>
        </w:tc>
        <w:tc>
          <w:tcPr>
            <w:tcW w:w="696" w:type="dxa"/>
            <w:shd w:val="clear" w:color="auto" w:fill="4BACC6" w:themeFill="accent5"/>
          </w:tcPr>
          <w:p>
            <w:pPr>
              <w:jc w:val="center"/>
              <w:rPr>
                <w:rFonts w:ascii="Times New Roman" w:hAnsi="Times New Roman" w:eastAsia="宋体"/>
                <w:color w:val="FFFFFF"/>
                <w:kern w:val="0"/>
              </w:rPr>
            </w:pPr>
            <w:r>
              <w:rPr>
                <w:rFonts w:hint="eastAsia" w:ascii="Times New Roman" w:hAnsi="Times New Roman" w:eastAsia="宋体"/>
                <w:color w:val="FFFFFF"/>
                <w:kern w:val="0"/>
              </w:rPr>
              <w:t>人数</w:t>
            </w:r>
          </w:p>
        </w:tc>
        <w:tc>
          <w:tcPr>
            <w:tcW w:w="756" w:type="dxa"/>
            <w:shd w:val="clear" w:color="auto" w:fill="4BACC6" w:themeFill="accent5"/>
          </w:tcPr>
          <w:p>
            <w:pPr>
              <w:jc w:val="center"/>
              <w:rPr>
                <w:rFonts w:ascii="Times New Roman" w:hAnsi="Times New Roman" w:eastAsia="宋体"/>
                <w:color w:val="FFFFFF"/>
                <w:kern w:val="0"/>
              </w:rPr>
            </w:pPr>
            <w:r>
              <w:rPr>
                <w:rFonts w:ascii="Times New Roman" w:hAnsi="Times New Roman" w:eastAsia="宋体"/>
                <w:color w:val="FFFFFF"/>
                <w:kern w:val="0"/>
              </w:rPr>
              <w:t>%</w:t>
            </w:r>
          </w:p>
        </w:tc>
        <w:tc>
          <w:tcPr>
            <w:tcW w:w="696" w:type="dxa"/>
            <w:shd w:val="clear" w:color="auto" w:fill="4BACC6" w:themeFill="accent5"/>
          </w:tcPr>
          <w:p>
            <w:pPr>
              <w:jc w:val="center"/>
              <w:rPr>
                <w:rFonts w:ascii="Times New Roman" w:hAnsi="Times New Roman" w:eastAsia="宋体"/>
                <w:color w:val="FFFFFF"/>
                <w:kern w:val="0"/>
              </w:rPr>
            </w:pPr>
            <w:r>
              <w:rPr>
                <w:rFonts w:hint="eastAsia" w:ascii="Times New Roman" w:hAnsi="Times New Roman" w:eastAsia="宋体"/>
                <w:color w:val="FFFFFF"/>
                <w:kern w:val="0"/>
              </w:rPr>
              <w:t>人数</w:t>
            </w:r>
          </w:p>
        </w:tc>
        <w:tc>
          <w:tcPr>
            <w:tcW w:w="756" w:type="dxa"/>
            <w:shd w:val="clear" w:color="auto" w:fill="4BACC6" w:themeFill="accent5"/>
          </w:tcPr>
          <w:p>
            <w:pPr>
              <w:jc w:val="center"/>
              <w:rPr>
                <w:rFonts w:ascii="Times New Roman" w:hAnsi="Times New Roman" w:eastAsia="宋体"/>
                <w:color w:val="FFFFFF"/>
                <w:kern w:val="0"/>
              </w:rPr>
            </w:pPr>
            <w:r>
              <w:rPr>
                <w:rFonts w:hint="eastAsia" w:ascii="Times New Roman" w:hAnsi="Times New Roman" w:eastAsia="宋体"/>
                <w:color w:val="FFFFFF"/>
                <w:kern w:val="0"/>
              </w:rPr>
              <w:t>%</w:t>
            </w:r>
          </w:p>
        </w:tc>
        <w:tc>
          <w:tcPr>
            <w:tcW w:w="696" w:type="dxa"/>
            <w:shd w:val="clear" w:color="auto" w:fill="4BACC6" w:themeFill="accent5"/>
          </w:tcPr>
          <w:p>
            <w:pPr>
              <w:jc w:val="center"/>
              <w:rPr>
                <w:rFonts w:ascii="Times New Roman" w:hAnsi="Times New Roman" w:eastAsia="宋体"/>
                <w:color w:val="FFFFFF"/>
                <w:kern w:val="0"/>
              </w:rPr>
            </w:pPr>
            <w:r>
              <w:rPr>
                <w:rFonts w:hint="eastAsia" w:ascii="Times New Roman" w:hAnsi="Times New Roman" w:eastAsia="宋体"/>
                <w:color w:val="FFFFFF"/>
                <w:kern w:val="0"/>
              </w:rPr>
              <w:t>人数</w:t>
            </w:r>
          </w:p>
        </w:tc>
        <w:tc>
          <w:tcPr>
            <w:tcW w:w="756" w:type="dxa"/>
            <w:shd w:val="clear" w:color="auto" w:fill="4BACC6" w:themeFill="accent5"/>
          </w:tcPr>
          <w:p>
            <w:pPr>
              <w:jc w:val="center"/>
              <w:rPr>
                <w:rFonts w:ascii="Times New Roman" w:hAnsi="Times New Roman" w:eastAsia="宋体"/>
                <w:color w:val="FFFFFF"/>
                <w:kern w:val="0"/>
              </w:rPr>
            </w:pPr>
            <w:r>
              <w:rPr>
                <w:rFonts w:hint="eastAsia" w:ascii="Times New Roman" w:hAnsi="Times New Roman" w:eastAsia="宋体"/>
                <w:color w:val="FFFFFF"/>
                <w:kern w:val="0"/>
              </w:rPr>
              <w:t>%</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restart"/>
            <w:shd w:val="clear" w:color="auto" w:fill="FFFFFF" w:themeFill="background1"/>
            <w:vAlign w:val="center"/>
          </w:tcPr>
          <w:p>
            <w:pPr>
              <w:jc w:val="center"/>
              <w:rPr>
                <w:rFonts w:ascii="Times New Roman" w:hAnsi="Times New Roman" w:eastAsia="宋体"/>
                <w:b/>
                <w:bCs/>
                <w:kern w:val="0"/>
              </w:rPr>
            </w:pPr>
            <w:r>
              <w:rPr>
                <w:rFonts w:hint="eastAsia" w:ascii="Times New Roman" w:hAnsi="Times New Roman" w:eastAsia="宋体"/>
                <w:b/>
                <w:bCs/>
                <w:kern w:val="0"/>
              </w:rPr>
              <w:t>就业</w:t>
            </w:r>
          </w:p>
        </w:tc>
        <w:tc>
          <w:tcPr>
            <w:tcW w:w="2136"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签署三方协议</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38</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11.76</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21</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23.60</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15</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71.43</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tcPr>
          <w:p>
            <w:pPr>
              <w:rPr>
                <w:rFonts w:ascii="Times New Roman" w:hAnsi="Times New Roman" w:eastAsia="宋体"/>
                <w:kern w:val="0"/>
              </w:rPr>
            </w:pPr>
            <w:r>
              <w:rPr>
                <w:rFonts w:hint="eastAsia" w:ascii="Times New Roman" w:hAnsi="Times New Roman" w:eastAsia="宋体"/>
                <w:kern w:val="0"/>
              </w:rPr>
              <w:t>签订劳动合同</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51</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15.79</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11</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12.36</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单位开具用人证明</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11</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3.41</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17</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19.10</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2</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9.52</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tcPr>
          <w:p>
            <w:pPr>
              <w:rPr>
                <w:rFonts w:ascii="Times New Roman" w:hAnsi="Times New Roman" w:eastAsia="宋体"/>
                <w:kern w:val="0"/>
              </w:rPr>
            </w:pPr>
            <w:r>
              <w:rPr>
                <w:rFonts w:hint="eastAsia" w:ascii="Times New Roman" w:hAnsi="Times New Roman" w:eastAsia="宋体"/>
                <w:kern w:val="0"/>
              </w:rPr>
              <w:t>自由职业</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163</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50.46</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30</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33.71</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3</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14.29</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自主创业</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12</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3.72</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1.12</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restart"/>
            <w:shd w:val="clear" w:color="auto" w:fill="FFFFFF" w:themeFill="background1"/>
            <w:vAlign w:val="center"/>
          </w:tcPr>
          <w:p>
            <w:pPr>
              <w:jc w:val="center"/>
              <w:rPr>
                <w:rFonts w:ascii="Times New Roman" w:hAnsi="Times New Roman" w:eastAsia="宋体"/>
                <w:b/>
                <w:bCs/>
                <w:kern w:val="0"/>
              </w:rPr>
            </w:pPr>
            <w:r>
              <w:rPr>
                <w:rFonts w:hint="eastAsia" w:ascii="Times New Roman" w:hAnsi="Times New Roman" w:eastAsia="宋体"/>
                <w:b/>
                <w:bCs/>
                <w:kern w:val="0"/>
              </w:rPr>
              <w:t>深造</w:t>
            </w:r>
          </w:p>
        </w:tc>
        <w:tc>
          <w:tcPr>
            <w:tcW w:w="2136" w:type="dxa"/>
          </w:tcPr>
          <w:p>
            <w:pPr>
              <w:rPr>
                <w:rFonts w:ascii="Times New Roman" w:hAnsi="Times New Roman" w:eastAsia="宋体"/>
                <w:kern w:val="0"/>
              </w:rPr>
            </w:pPr>
            <w:r>
              <w:rPr>
                <w:rFonts w:hint="eastAsia" w:ascii="Times New Roman" w:hAnsi="Times New Roman" w:eastAsia="宋体"/>
                <w:kern w:val="0"/>
              </w:rPr>
              <w:t>国内升学</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31</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9.60</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7</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7.87</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4.76</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出国（境）留学</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9</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2.79</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1.12</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restart"/>
            <w:shd w:val="clear" w:color="auto" w:fill="FFFFFF" w:themeFill="background1"/>
            <w:vAlign w:val="center"/>
          </w:tcPr>
          <w:p>
            <w:pPr>
              <w:jc w:val="center"/>
              <w:rPr>
                <w:rFonts w:ascii="Times New Roman" w:hAnsi="Times New Roman" w:eastAsia="宋体"/>
                <w:b/>
                <w:bCs/>
                <w:kern w:val="0"/>
              </w:rPr>
            </w:pPr>
            <w:r>
              <w:rPr>
                <w:rFonts w:hint="eastAsia" w:ascii="Times New Roman" w:hAnsi="Times New Roman" w:eastAsia="宋体"/>
                <w:b/>
                <w:bCs/>
                <w:kern w:val="0"/>
              </w:rPr>
              <w:t>未就业</w:t>
            </w:r>
          </w:p>
        </w:tc>
        <w:tc>
          <w:tcPr>
            <w:tcW w:w="2136" w:type="dxa"/>
          </w:tcPr>
          <w:p>
            <w:pPr>
              <w:rPr>
                <w:rFonts w:ascii="Times New Roman" w:hAnsi="Times New Roman" w:eastAsia="宋体"/>
                <w:kern w:val="0"/>
              </w:rPr>
            </w:pPr>
            <w:r>
              <w:rPr>
                <w:rFonts w:hint="eastAsia" w:ascii="Times New Roman" w:hAnsi="Times New Roman" w:eastAsia="宋体"/>
                <w:kern w:val="0"/>
              </w:rPr>
              <w:t>拟升学不就业</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5</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1.55</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0.00</w:t>
            </w:r>
          </w:p>
        </w:tc>
        <w:tc>
          <w:tcPr>
            <w:tcW w:w="696" w:type="dxa"/>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939" w:type="dxa"/>
            <w:vMerge w:val="continue"/>
            <w:shd w:val="clear" w:color="auto" w:fill="FFFFFF" w:themeFill="background1"/>
            <w:vAlign w:val="center"/>
          </w:tcPr>
          <w:p>
            <w:pPr>
              <w:jc w:val="center"/>
              <w:rPr>
                <w:rFonts w:ascii="Times New Roman" w:hAnsi="Times New Roman" w:eastAsia="宋体"/>
                <w:b/>
                <w:bCs/>
                <w:kern w:val="0"/>
              </w:rPr>
            </w:pPr>
          </w:p>
        </w:tc>
        <w:tc>
          <w:tcPr>
            <w:tcW w:w="2136"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拟出国不就业</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3</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0.93</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1.12</w:t>
            </w:r>
          </w:p>
        </w:tc>
        <w:tc>
          <w:tcPr>
            <w:tcW w:w="69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0.00</w:t>
            </w:r>
          </w:p>
        </w:tc>
      </w:tr>
    </w:tbl>
    <w:p/>
    <w:p>
      <w:pPr>
        <w:spacing w:line="360" w:lineRule="auto"/>
        <w:ind w:firstLine="480" w:firstLineChars="200"/>
      </w:pPr>
      <w:r>
        <w:rPr>
          <w:rFonts w:ascii="Times New Roman" w:hAnsi="Times New Roman" w:cs="Times New Roman"/>
          <w:szCs w:val="24"/>
        </w:rPr>
        <w:t>与2016届相比而言，2017届毕业生中</w:t>
      </w:r>
      <w:r>
        <w:rPr>
          <w:rFonts w:hint="eastAsia" w:ascii="Times New Roman" w:hAnsi="Times New Roman" w:cs="Times New Roman"/>
          <w:szCs w:val="24"/>
        </w:rPr>
        <w:t>本科生和硕士生的就业率分别上升了</w:t>
      </w:r>
      <w:r>
        <w:rPr>
          <w:rFonts w:ascii="Times New Roman" w:hAnsi="Times New Roman" w:cs="Times New Roman"/>
          <w:szCs w:val="24"/>
        </w:rPr>
        <w:t>3.73</w:t>
      </w:r>
      <w:r>
        <w:rPr>
          <w:rFonts w:hint="eastAsia" w:ascii="Times New Roman" w:hAnsi="Times New Roman" w:cs="Times New Roman"/>
          <w:szCs w:val="24"/>
        </w:rPr>
        <w:t>和</w:t>
      </w:r>
      <w:r>
        <w:rPr>
          <w:rFonts w:ascii="Times New Roman" w:hAnsi="Times New Roman" w:cs="Times New Roman"/>
          <w:szCs w:val="24"/>
        </w:rPr>
        <w:t>4.88</w:t>
      </w:r>
      <w:r>
        <w:rPr>
          <w:rFonts w:hint="eastAsia" w:ascii="Times New Roman" w:hAnsi="Times New Roman" w:cs="Times New Roman"/>
          <w:szCs w:val="24"/>
        </w:rPr>
        <w:t>个百分点，而博士生的就业率与2</w:t>
      </w:r>
      <w:r>
        <w:rPr>
          <w:rFonts w:ascii="Times New Roman" w:hAnsi="Times New Roman" w:cs="Times New Roman"/>
          <w:szCs w:val="24"/>
        </w:rPr>
        <w:t>016</w:t>
      </w:r>
      <w:r>
        <w:rPr>
          <w:rFonts w:hint="eastAsia" w:ascii="Times New Roman" w:hAnsi="Times New Roman" w:cs="Times New Roman"/>
          <w:szCs w:val="24"/>
        </w:rPr>
        <w:t>届持平</w:t>
      </w:r>
      <w:r>
        <w:rPr>
          <w:rFonts w:ascii="Times New Roman" w:hAnsi="Times New Roman" w:cs="Times New Roman"/>
          <w:szCs w:val="24"/>
        </w:rPr>
        <w:t>。其中，2017届</w:t>
      </w:r>
      <w:r>
        <w:rPr>
          <w:rFonts w:hint="eastAsia" w:ascii="Times New Roman" w:hAnsi="Times New Roman" w:cs="Times New Roman"/>
          <w:szCs w:val="24"/>
        </w:rPr>
        <w:t>毕业生中本科生</w:t>
      </w:r>
      <w:r>
        <w:rPr>
          <w:rFonts w:ascii="Times New Roman" w:hAnsi="Times New Roman" w:cs="Times New Roman"/>
          <w:szCs w:val="24"/>
        </w:rPr>
        <w:t>签署三方协议</w:t>
      </w:r>
      <w:r>
        <w:rPr>
          <w:rFonts w:hint="eastAsia" w:ascii="Times New Roman" w:hAnsi="Times New Roman" w:cs="Times New Roman"/>
          <w:szCs w:val="24"/>
        </w:rPr>
        <w:t>、自主创业、国内升学和出国（境）留学</w:t>
      </w:r>
      <w:r>
        <w:rPr>
          <w:rFonts w:ascii="Times New Roman" w:hAnsi="Times New Roman" w:cs="Times New Roman"/>
          <w:szCs w:val="24"/>
        </w:rPr>
        <w:t>的比例</w:t>
      </w:r>
      <w:r>
        <w:rPr>
          <w:rFonts w:hint="eastAsia" w:ascii="Times New Roman" w:hAnsi="Times New Roman" w:cs="Times New Roman"/>
          <w:szCs w:val="24"/>
        </w:rPr>
        <w:t>高</w:t>
      </w:r>
      <w:r>
        <w:rPr>
          <w:rFonts w:ascii="Times New Roman" w:hAnsi="Times New Roman" w:cs="Times New Roman"/>
          <w:szCs w:val="24"/>
        </w:rPr>
        <w:t>于2016届</w:t>
      </w:r>
      <w:r>
        <w:rPr>
          <w:rFonts w:hint="eastAsia" w:ascii="Times New Roman" w:hAnsi="Times New Roman" w:cs="Times New Roman"/>
          <w:szCs w:val="24"/>
        </w:rPr>
        <w:t>；</w:t>
      </w:r>
      <w:r>
        <w:rPr>
          <w:rFonts w:ascii="Times New Roman" w:hAnsi="Times New Roman" w:cs="Times New Roman"/>
          <w:szCs w:val="24"/>
        </w:rPr>
        <w:t>2017届毕业生中</w:t>
      </w:r>
      <w:r>
        <w:rPr>
          <w:rFonts w:hint="eastAsia" w:ascii="Times New Roman" w:hAnsi="Times New Roman" w:cs="Times New Roman"/>
          <w:szCs w:val="24"/>
        </w:rPr>
        <w:t>硕士毕业生</w:t>
      </w:r>
      <w:r>
        <w:rPr>
          <w:rFonts w:ascii="Times New Roman" w:hAnsi="Times New Roman" w:cs="Times New Roman"/>
          <w:szCs w:val="24"/>
        </w:rPr>
        <w:t>签署三方协议、国内升学的比例</w:t>
      </w:r>
      <w:r>
        <w:rPr>
          <w:rFonts w:hint="eastAsia" w:ascii="Times New Roman" w:hAnsi="Times New Roman" w:cs="Times New Roman"/>
          <w:szCs w:val="24"/>
        </w:rPr>
        <w:t>高</w:t>
      </w:r>
      <w:r>
        <w:rPr>
          <w:rFonts w:ascii="Times New Roman" w:hAnsi="Times New Roman" w:cs="Times New Roman"/>
          <w:szCs w:val="24"/>
        </w:rPr>
        <w:t>于2016届，而自主创业和出国（境）留学的比例</w:t>
      </w:r>
      <w:r>
        <w:rPr>
          <w:rFonts w:hint="eastAsia" w:ascii="Times New Roman" w:hAnsi="Times New Roman" w:cs="Times New Roman"/>
          <w:szCs w:val="24"/>
        </w:rPr>
        <w:t>低</w:t>
      </w:r>
      <w:r>
        <w:rPr>
          <w:rFonts w:ascii="Times New Roman" w:hAnsi="Times New Roman" w:cs="Times New Roman"/>
          <w:szCs w:val="24"/>
        </w:rPr>
        <w:t>于2016届中</w:t>
      </w:r>
      <w:r>
        <w:rPr>
          <w:rFonts w:hint="eastAsia" w:ascii="Times New Roman" w:hAnsi="Times New Roman" w:cs="Times New Roman"/>
          <w:szCs w:val="24"/>
        </w:rPr>
        <w:t>的硕士</w:t>
      </w:r>
      <w:r>
        <w:rPr>
          <w:rFonts w:ascii="Times New Roman" w:hAnsi="Times New Roman" w:cs="Times New Roman"/>
          <w:szCs w:val="24"/>
        </w:rPr>
        <w:t>毕业生</w:t>
      </w:r>
      <w:r>
        <w:rPr>
          <w:rFonts w:hint="eastAsia" w:ascii="Times New Roman" w:hAnsi="Times New Roman" w:cs="Times New Roman"/>
          <w:szCs w:val="24"/>
        </w:rPr>
        <w:t>；2</w:t>
      </w:r>
      <w:r>
        <w:rPr>
          <w:rFonts w:ascii="Times New Roman" w:hAnsi="Times New Roman" w:cs="Times New Roman"/>
          <w:szCs w:val="24"/>
        </w:rPr>
        <w:t>017</w:t>
      </w:r>
      <w:r>
        <w:rPr>
          <w:rFonts w:hint="eastAsia" w:ascii="Times New Roman" w:hAnsi="Times New Roman" w:cs="Times New Roman"/>
          <w:szCs w:val="24"/>
        </w:rPr>
        <w:t>届毕业生中博士生</w:t>
      </w:r>
      <w:r>
        <w:rPr>
          <w:rFonts w:ascii="Times New Roman" w:hAnsi="Times New Roman" w:cs="Times New Roman"/>
          <w:szCs w:val="24"/>
        </w:rPr>
        <w:t>签署三方协议</w:t>
      </w:r>
      <w:r>
        <w:rPr>
          <w:rFonts w:hint="eastAsia" w:ascii="Times New Roman" w:hAnsi="Times New Roman" w:cs="Times New Roman"/>
          <w:szCs w:val="24"/>
        </w:rPr>
        <w:t>的比例高于2</w:t>
      </w:r>
      <w:r>
        <w:rPr>
          <w:rFonts w:ascii="Times New Roman" w:hAnsi="Times New Roman" w:cs="Times New Roman"/>
          <w:szCs w:val="24"/>
        </w:rPr>
        <w:t>016</w:t>
      </w:r>
      <w:r>
        <w:rPr>
          <w:rFonts w:hint="eastAsia" w:ascii="Times New Roman" w:hAnsi="Times New Roman" w:cs="Times New Roman"/>
          <w:szCs w:val="24"/>
        </w:rPr>
        <w:t>届，而自主创业和国内升学、出国（境）留学的比例低于2</w:t>
      </w:r>
      <w:r>
        <w:rPr>
          <w:rFonts w:ascii="Times New Roman" w:hAnsi="Times New Roman" w:cs="Times New Roman"/>
          <w:szCs w:val="24"/>
        </w:rPr>
        <w:t>016</w:t>
      </w:r>
      <w:r>
        <w:rPr>
          <w:rFonts w:hint="eastAsia" w:ascii="Times New Roman" w:hAnsi="Times New Roman" w:cs="Times New Roman"/>
          <w:szCs w:val="24"/>
        </w:rPr>
        <w:t>届博士毕业生。</w:t>
      </w:r>
    </w:p>
    <w:p>
      <w:pPr>
        <w:pStyle w:val="55"/>
        <w:adjustRightInd/>
        <w:snapToGrid/>
        <w:spacing w:before="312" w:after="156"/>
        <w:ind w:left="420" w:hanging="420"/>
      </w:pPr>
      <w:r>
        <w:rPr>
          <w:rFonts w:hint="eastAsia"/>
        </w:rPr>
        <w:t>2</w:t>
      </w:r>
      <w:r>
        <w:t>016</w:t>
      </w:r>
      <w:r>
        <w:rPr>
          <w:rFonts w:hint="eastAsia"/>
        </w:rPr>
        <w:t>届与2</w:t>
      </w:r>
      <w:r>
        <w:t>017</w:t>
      </w:r>
      <w:r>
        <w:rPr>
          <w:rFonts w:hint="eastAsia"/>
        </w:rPr>
        <w:t>届不同学历层次毕业生毕业去向比较情况</w:t>
      </w:r>
    </w:p>
    <w:tbl>
      <w:tblPr>
        <w:tblStyle w:val="144"/>
        <w:tblW w:w="11283" w:type="dxa"/>
        <w:jc w:val="center"/>
        <w:tblInd w:w="0"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1136"/>
        <w:gridCol w:w="1985"/>
        <w:gridCol w:w="665"/>
        <w:gridCol w:w="636"/>
        <w:gridCol w:w="631"/>
        <w:gridCol w:w="748"/>
        <w:gridCol w:w="740"/>
        <w:gridCol w:w="636"/>
        <w:gridCol w:w="626"/>
        <w:gridCol w:w="756"/>
        <w:gridCol w:w="608"/>
        <w:gridCol w:w="756"/>
        <w:gridCol w:w="604"/>
        <w:gridCol w:w="756"/>
      </w:tblGrid>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15" w:hRule="atLeast"/>
          <w:jc w:val="center"/>
        </w:trPr>
        <w:tc>
          <w:tcPr>
            <w:tcW w:w="1136" w:type="dxa"/>
            <w:vMerge w:val="restart"/>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4BACC6" w:themeFill="accent5"/>
          </w:tcPr>
          <w:p>
            <w:pPr>
              <w:ind w:firstLine="480"/>
              <w:jc w:val="left"/>
              <w:rPr>
                <w:rFonts w:ascii="Times New Roman" w:hAnsi="Times New Roman" w:eastAsia="宋体"/>
                <w:b/>
                <w:bCs/>
                <w:color w:val="FFFFFF"/>
                <w:kern w:val="0"/>
              </w:rPr>
            </w:pPr>
          </w:p>
        </w:tc>
        <w:tc>
          <w:tcPr>
            <w:tcW w:w="1985" w:type="dxa"/>
            <w:vMerge w:val="restart"/>
            <w:tcBorders>
              <w:top w:val="single" w:color="4BACC6" w:themeColor="accent5" w:sz="4" w:space="0"/>
              <w:bottom w:val="single" w:color="4BACC6" w:themeColor="accent5" w:sz="4" w:space="0"/>
              <w:right w:val="nil"/>
              <w:insideH w:val="single" w:sz="4" w:space="0"/>
              <w:insideV w:val="nil"/>
            </w:tcBorders>
            <w:shd w:val="clear" w:color="auto" w:fill="4BACC6" w:themeFill="accent5"/>
          </w:tcPr>
          <w:p>
            <w:pPr>
              <w:jc w:val="left"/>
              <w:rPr>
                <w:rFonts w:ascii="Times New Roman" w:hAnsi="Times New Roman" w:eastAsia="宋体"/>
                <w:b/>
                <w:bCs/>
                <w:color w:val="FFFFFF"/>
                <w:kern w:val="0"/>
              </w:rPr>
            </w:pPr>
          </w:p>
        </w:tc>
        <w:tc>
          <w:tcPr>
            <w:tcW w:w="4056" w:type="dxa"/>
            <w:gridSpan w:val="6"/>
            <w:tcBorders>
              <w:top w:val="single" w:color="4BACC6" w:themeColor="accent5" w:sz="4" w:space="0"/>
              <w:bottom w:val="single" w:color="4BACC6" w:themeColor="accent5" w:sz="4" w:space="0"/>
              <w:right w:val="nil"/>
              <w:insideH w:val="single" w:sz="4" w:space="0"/>
              <w:insideV w:val="nil"/>
            </w:tcBorders>
            <w:shd w:val="clear" w:color="auto" w:fill="4BACC6" w:themeFill="accent5"/>
          </w:tcPr>
          <w:p>
            <w:pPr>
              <w:jc w:val="center"/>
              <w:rPr>
                <w:rFonts w:ascii="Times New Roman" w:hAnsi="Times New Roman" w:eastAsia="宋体"/>
                <w:b/>
                <w:bCs/>
                <w:color w:val="FFFFFF"/>
                <w:kern w:val="0"/>
              </w:rPr>
            </w:pPr>
            <w:r>
              <w:rPr>
                <w:rFonts w:hint="eastAsia" w:ascii="Times New Roman" w:hAnsi="Times New Roman" w:eastAsia="宋体"/>
                <w:b/>
                <w:bCs/>
                <w:color w:val="FFFFFF"/>
                <w:kern w:val="0"/>
              </w:rPr>
              <w:t>2</w:t>
            </w:r>
            <w:r>
              <w:rPr>
                <w:rFonts w:ascii="Times New Roman" w:hAnsi="Times New Roman" w:eastAsia="宋体"/>
                <w:b/>
                <w:bCs/>
                <w:color w:val="FFFFFF"/>
                <w:kern w:val="0"/>
              </w:rPr>
              <w:t>016</w:t>
            </w:r>
            <w:r>
              <w:rPr>
                <w:rFonts w:hint="eastAsia" w:ascii="Times New Roman" w:hAnsi="Times New Roman" w:eastAsia="宋体"/>
                <w:b/>
                <w:bCs/>
                <w:color w:val="FFFFFF"/>
                <w:kern w:val="0"/>
              </w:rPr>
              <w:t>届</w:t>
            </w:r>
          </w:p>
        </w:tc>
        <w:tc>
          <w:tcPr>
            <w:tcW w:w="4106" w:type="dxa"/>
            <w:gridSpan w:val="6"/>
            <w:tcBorders>
              <w:top w:val="single" w:color="4BACC6" w:themeColor="accent5" w:sz="4" w:space="0"/>
              <w:bottom w:val="single" w:color="4BACC6" w:themeColor="accent5" w:sz="4" w:space="0"/>
              <w:right w:val="single" w:color="4BACC6" w:themeColor="accent5" w:sz="4" w:space="0"/>
              <w:insideH w:val="single" w:sz="4" w:space="0"/>
              <w:insideV w:val="nil"/>
            </w:tcBorders>
            <w:shd w:val="clear" w:color="auto" w:fill="4BACC6" w:themeFill="accent5"/>
          </w:tcPr>
          <w:p>
            <w:pPr>
              <w:jc w:val="center"/>
              <w:rPr>
                <w:rFonts w:ascii="Times New Roman" w:hAnsi="Times New Roman" w:eastAsia="宋体"/>
                <w:b/>
                <w:bCs/>
                <w:color w:val="FFFFFF"/>
                <w:kern w:val="0"/>
              </w:rPr>
            </w:pPr>
            <w:r>
              <w:rPr>
                <w:rFonts w:hint="eastAsia" w:ascii="Times New Roman" w:hAnsi="Times New Roman" w:eastAsia="宋体"/>
                <w:b/>
                <w:bCs/>
                <w:color w:val="FFFFFF"/>
                <w:kern w:val="0"/>
              </w:rPr>
              <w:t>2</w:t>
            </w:r>
            <w:r>
              <w:rPr>
                <w:rFonts w:ascii="Times New Roman" w:hAnsi="Times New Roman" w:eastAsia="宋体"/>
                <w:b/>
                <w:bCs/>
                <w:color w:val="FFFFFF"/>
                <w:kern w:val="0"/>
              </w:rPr>
              <w:t>017</w:t>
            </w:r>
            <w:r>
              <w:rPr>
                <w:rFonts w:hint="eastAsia" w:ascii="Times New Roman" w:hAnsi="Times New Roman" w:eastAsia="宋体"/>
                <w:b/>
                <w:bCs/>
                <w:color w:val="FFFFFF"/>
                <w:kern w:val="0"/>
              </w:rPr>
              <w:t>届</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15" w:hRule="atLeast"/>
          <w:jc w:val="center"/>
        </w:trPr>
        <w:tc>
          <w:tcPr>
            <w:tcW w:w="1136" w:type="dxa"/>
            <w:vMerge w:val="continue"/>
            <w:shd w:val="clear" w:color="auto" w:fill="DAEEF3" w:themeFill="accent5" w:themeFillTint="33"/>
          </w:tcPr>
          <w:p>
            <w:pPr>
              <w:ind w:firstLine="480"/>
              <w:jc w:val="left"/>
              <w:rPr>
                <w:rFonts w:ascii="Times New Roman" w:hAnsi="Times New Roman" w:eastAsia="宋体"/>
                <w:b/>
                <w:bCs/>
                <w:color w:val="FFFFFF"/>
                <w:kern w:val="0"/>
              </w:rPr>
            </w:pPr>
          </w:p>
        </w:tc>
        <w:tc>
          <w:tcPr>
            <w:tcW w:w="1985" w:type="dxa"/>
            <w:vMerge w:val="continue"/>
            <w:shd w:val="clear" w:color="auto" w:fill="DAEEF3" w:themeFill="accent5" w:themeFillTint="33"/>
          </w:tcPr>
          <w:p>
            <w:pPr>
              <w:jc w:val="left"/>
              <w:rPr>
                <w:rFonts w:ascii="Times New Roman" w:hAnsi="Times New Roman" w:eastAsia="宋体"/>
                <w:color w:val="FFFFFF"/>
                <w:kern w:val="0"/>
              </w:rPr>
            </w:pPr>
          </w:p>
        </w:tc>
        <w:tc>
          <w:tcPr>
            <w:tcW w:w="1301" w:type="dxa"/>
            <w:gridSpan w:val="2"/>
            <w:shd w:val="clear" w:color="auto" w:fill="4BACC6"/>
          </w:tcPr>
          <w:p>
            <w:pPr>
              <w:jc w:val="center"/>
              <w:rPr>
                <w:rFonts w:ascii="Times New Roman" w:hAnsi="Times New Roman" w:eastAsia="宋体"/>
                <w:b/>
                <w:color w:val="FFFFFF"/>
                <w:kern w:val="0"/>
              </w:rPr>
            </w:pPr>
            <w:r>
              <w:rPr>
                <w:rFonts w:hint="eastAsia" w:ascii="Times New Roman" w:hAnsi="Times New Roman" w:eastAsia="宋体"/>
                <w:b/>
                <w:color w:val="FFFFFF"/>
                <w:kern w:val="0"/>
              </w:rPr>
              <w:t>本科生</w:t>
            </w:r>
          </w:p>
        </w:tc>
        <w:tc>
          <w:tcPr>
            <w:tcW w:w="1379" w:type="dxa"/>
            <w:gridSpan w:val="2"/>
            <w:shd w:val="clear" w:color="auto" w:fill="4BACC6"/>
          </w:tcPr>
          <w:p>
            <w:pPr>
              <w:jc w:val="center"/>
              <w:rPr>
                <w:rFonts w:ascii="Times New Roman" w:hAnsi="Times New Roman" w:eastAsia="宋体"/>
                <w:b/>
                <w:color w:val="FFFFFF"/>
                <w:kern w:val="0"/>
              </w:rPr>
            </w:pPr>
            <w:r>
              <w:rPr>
                <w:rFonts w:hint="eastAsia" w:ascii="Times New Roman" w:hAnsi="Times New Roman" w:eastAsia="宋体"/>
                <w:b/>
                <w:color w:val="FFFFFF"/>
                <w:kern w:val="0"/>
              </w:rPr>
              <w:t>硕士生</w:t>
            </w:r>
          </w:p>
        </w:tc>
        <w:tc>
          <w:tcPr>
            <w:tcW w:w="1376" w:type="dxa"/>
            <w:gridSpan w:val="2"/>
            <w:shd w:val="clear" w:color="auto" w:fill="4BACC6"/>
          </w:tcPr>
          <w:p>
            <w:pPr>
              <w:jc w:val="center"/>
              <w:rPr>
                <w:rFonts w:ascii="Times New Roman" w:hAnsi="Times New Roman" w:eastAsia="宋体"/>
                <w:b/>
                <w:color w:val="FFFFFF"/>
                <w:kern w:val="0"/>
              </w:rPr>
            </w:pPr>
            <w:r>
              <w:rPr>
                <w:rFonts w:hint="eastAsia" w:ascii="Times New Roman" w:hAnsi="Times New Roman" w:eastAsia="宋体"/>
                <w:b/>
                <w:color w:val="FFFFFF"/>
                <w:kern w:val="0"/>
              </w:rPr>
              <w:t>博士生</w:t>
            </w:r>
          </w:p>
        </w:tc>
        <w:tc>
          <w:tcPr>
            <w:tcW w:w="1382" w:type="dxa"/>
            <w:gridSpan w:val="2"/>
            <w:shd w:val="clear" w:color="auto" w:fill="4BACC6"/>
          </w:tcPr>
          <w:p>
            <w:pPr>
              <w:jc w:val="center"/>
              <w:rPr>
                <w:rFonts w:ascii="Times New Roman" w:hAnsi="Times New Roman" w:eastAsia="宋体"/>
                <w:b/>
                <w:color w:val="FFFFFF"/>
                <w:kern w:val="0"/>
              </w:rPr>
            </w:pPr>
            <w:r>
              <w:rPr>
                <w:rFonts w:hint="eastAsia" w:ascii="Times New Roman" w:hAnsi="Times New Roman" w:eastAsia="宋体"/>
                <w:b/>
                <w:color w:val="FFFFFF"/>
                <w:kern w:val="0"/>
              </w:rPr>
              <w:t>本科生</w:t>
            </w:r>
          </w:p>
        </w:tc>
        <w:tc>
          <w:tcPr>
            <w:tcW w:w="1364" w:type="dxa"/>
            <w:gridSpan w:val="2"/>
            <w:shd w:val="clear" w:color="auto" w:fill="4BACC6"/>
          </w:tcPr>
          <w:p>
            <w:pPr>
              <w:jc w:val="center"/>
              <w:rPr>
                <w:rFonts w:ascii="Times New Roman" w:hAnsi="Times New Roman" w:eastAsia="宋体"/>
                <w:b/>
                <w:color w:val="FFFFFF"/>
                <w:kern w:val="0"/>
              </w:rPr>
            </w:pPr>
            <w:r>
              <w:rPr>
                <w:rFonts w:hint="eastAsia" w:ascii="Times New Roman" w:hAnsi="Times New Roman" w:eastAsia="宋体"/>
                <w:b/>
                <w:color w:val="FFFFFF"/>
                <w:kern w:val="0"/>
              </w:rPr>
              <w:t>硕士生</w:t>
            </w:r>
          </w:p>
        </w:tc>
        <w:tc>
          <w:tcPr>
            <w:tcW w:w="1360" w:type="dxa"/>
            <w:gridSpan w:val="2"/>
            <w:shd w:val="clear" w:color="auto" w:fill="4BACC6"/>
          </w:tcPr>
          <w:p>
            <w:pPr>
              <w:jc w:val="center"/>
              <w:rPr>
                <w:rFonts w:ascii="Times New Roman" w:hAnsi="Times New Roman" w:eastAsia="宋体"/>
                <w:b/>
                <w:color w:val="FFFFFF"/>
                <w:kern w:val="0"/>
              </w:rPr>
            </w:pPr>
            <w:r>
              <w:rPr>
                <w:rFonts w:hint="eastAsia" w:ascii="Times New Roman" w:hAnsi="Times New Roman" w:eastAsia="宋体"/>
                <w:b/>
                <w:color w:val="FFFFFF"/>
                <w:kern w:val="0"/>
              </w:rPr>
              <w:t>博士生</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45" w:hRule="atLeast"/>
          <w:jc w:val="center"/>
        </w:trPr>
        <w:tc>
          <w:tcPr>
            <w:tcW w:w="1136" w:type="dxa"/>
            <w:vMerge w:val="continue"/>
            <w:shd w:val="clear" w:color="auto" w:fill="4BACC6" w:themeFill="accent5"/>
          </w:tcPr>
          <w:p>
            <w:pPr>
              <w:rPr>
                <w:rFonts w:ascii="Times New Roman" w:hAnsi="Times New Roman" w:eastAsia="宋体"/>
                <w:b/>
                <w:bCs/>
                <w:color w:val="FFFFFF"/>
                <w:kern w:val="0"/>
              </w:rPr>
            </w:pPr>
          </w:p>
        </w:tc>
        <w:tc>
          <w:tcPr>
            <w:tcW w:w="1985" w:type="dxa"/>
            <w:vMerge w:val="continue"/>
            <w:shd w:val="clear" w:color="auto" w:fill="4BACC6" w:themeFill="accent5"/>
          </w:tcPr>
          <w:p>
            <w:pPr>
              <w:rPr>
                <w:rFonts w:ascii="Times New Roman" w:hAnsi="Times New Roman" w:eastAsia="宋体"/>
                <w:color w:val="FFFFFF"/>
                <w:kern w:val="0"/>
              </w:rPr>
            </w:pPr>
          </w:p>
        </w:tc>
        <w:tc>
          <w:tcPr>
            <w:tcW w:w="1301" w:type="dxa"/>
            <w:gridSpan w:val="2"/>
            <w:shd w:val="clear" w:color="auto" w:fill="4BACC6" w:themeFill="accent5"/>
            <w:vAlign w:val="center"/>
          </w:tcPr>
          <w:p>
            <w:pPr>
              <w:pStyle w:val="53"/>
              <w:jc w:val="center"/>
              <w:rPr>
                <w:b/>
                <w:color w:val="FFFFFF" w:themeColor="background1"/>
                <w:sz w:val="24"/>
                <w:szCs w:val="24"/>
              </w:rPr>
            </w:pPr>
            <w:r>
              <w:rPr>
                <w:rFonts w:hint="eastAsia"/>
                <w:b/>
                <w:color w:val="FFFFFF" w:themeColor="background1"/>
                <w:sz w:val="24"/>
                <w:szCs w:val="24"/>
              </w:rPr>
              <w:t>（N=</w:t>
            </w:r>
            <w:r>
              <w:rPr>
                <w:b/>
                <w:color w:val="FFFFFF" w:themeColor="background1"/>
                <w:sz w:val="24"/>
                <w:szCs w:val="24"/>
              </w:rPr>
              <w:t>96</w:t>
            </w:r>
            <w:r>
              <w:rPr>
                <w:rFonts w:hint="eastAsia"/>
                <w:b/>
                <w:color w:val="FFFFFF" w:themeColor="background1"/>
                <w:sz w:val="24"/>
                <w:szCs w:val="24"/>
              </w:rPr>
              <w:t>）</w:t>
            </w:r>
          </w:p>
        </w:tc>
        <w:tc>
          <w:tcPr>
            <w:tcW w:w="1379" w:type="dxa"/>
            <w:gridSpan w:val="2"/>
            <w:shd w:val="clear" w:color="auto" w:fill="4BACC6" w:themeFill="accent5"/>
            <w:vAlign w:val="center"/>
          </w:tcPr>
          <w:p>
            <w:pPr>
              <w:pStyle w:val="53"/>
              <w:jc w:val="center"/>
              <w:rPr>
                <w:b/>
                <w:color w:val="FFFFFF" w:themeColor="background1"/>
                <w:sz w:val="24"/>
                <w:szCs w:val="24"/>
              </w:rPr>
            </w:pPr>
            <w:r>
              <w:rPr>
                <w:rFonts w:hint="eastAsia"/>
                <w:b/>
                <w:color w:val="FFFFFF" w:themeColor="background1"/>
                <w:sz w:val="24"/>
                <w:szCs w:val="24"/>
              </w:rPr>
              <w:t>（N=</w:t>
            </w:r>
            <w:r>
              <w:rPr>
                <w:b/>
                <w:color w:val="FFFFFF" w:themeColor="background1"/>
                <w:sz w:val="24"/>
                <w:szCs w:val="24"/>
              </w:rPr>
              <w:t>348</w:t>
            </w:r>
            <w:r>
              <w:rPr>
                <w:rFonts w:hint="eastAsia"/>
                <w:b/>
                <w:color w:val="FFFFFF" w:themeColor="background1"/>
                <w:sz w:val="24"/>
                <w:szCs w:val="24"/>
              </w:rPr>
              <w:t>）</w:t>
            </w:r>
          </w:p>
        </w:tc>
        <w:tc>
          <w:tcPr>
            <w:tcW w:w="1376" w:type="dxa"/>
            <w:gridSpan w:val="2"/>
            <w:shd w:val="clear" w:color="auto" w:fill="4BACC6" w:themeFill="accent5"/>
            <w:vAlign w:val="center"/>
          </w:tcPr>
          <w:p>
            <w:pPr>
              <w:pStyle w:val="53"/>
              <w:jc w:val="center"/>
              <w:rPr>
                <w:b/>
                <w:color w:val="FFFFFF" w:themeColor="background1"/>
                <w:sz w:val="24"/>
                <w:szCs w:val="24"/>
              </w:rPr>
            </w:pPr>
            <w:r>
              <w:rPr>
                <w:rFonts w:hint="eastAsia"/>
                <w:b/>
                <w:color w:val="FFFFFF" w:themeColor="background1"/>
                <w:sz w:val="24"/>
                <w:szCs w:val="24"/>
              </w:rPr>
              <w:t>（N=</w:t>
            </w:r>
            <w:r>
              <w:rPr>
                <w:b/>
                <w:color w:val="FFFFFF" w:themeColor="background1"/>
                <w:sz w:val="24"/>
                <w:szCs w:val="24"/>
              </w:rPr>
              <w:t>126</w:t>
            </w:r>
            <w:r>
              <w:rPr>
                <w:rFonts w:hint="eastAsia"/>
                <w:b/>
                <w:color w:val="FFFFFF" w:themeColor="background1"/>
                <w:sz w:val="24"/>
                <w:szCs w:val="24"/>
              </w:rPr>
              <w:t>）</w:t>
            </w:r>
          </w:p>
        </w:tc>
        <w:tc>
          <w:tcPr>
            <w:tcW w:w="1382" w:type="dxa"/>
            <w:gridSpan w:val="2"/>
            <w:shd w:val="clear" w:color="auto" w:fill="4BACC6" w:themeFill="accent5"/>
          </w:tcPr>
          <w:p>
            <w:pPr>
              <w:pStyle w:val="123"/>
              <w:ind w:firstLine="0" w:firstLineChars="0"/>
              <w:jc w:val="center"/>
              <w:rPr>
                <w:b/>
                <w:color w:val="FFFFFF" w:themeColor="background1"/>
              </w:rPr>
            </w:pPr>
            <w:r>
              <w:rPr>
                <w:rFonts w:hint="eastAsia"/>
                <w:b/>
                <w:color w:val="FFFFFF" w:themeColor="background1"/>
              </w:rPr>
              <w:t>（N=</w:t>
            </w:r>
            <w:r>
              <w:rPr>
                <w:b/>
                <w:color w:val="FFFFFF" w:themeColor="background1"/>
              </w:rPr>
              <w:t>323</w:t>
            </w:r>
            <w:r>
              <w:rPr>
                <w:rFonts w:hint="eastAsia"/>
                <w:b/>
                <w:color w:val="FFFFFF" w:themeColor="background1"/>
              </w:rPr>
              <w:t>）</w:t>
            </w:r>
          </w:p>
        </w:tc>
        <w:tc>
          <w:tcPr>
            <w:tcW w:w="1364" w:type="dxa"/>
            <w:gridSpan w:val="2"/>
            <w:shd w:val="clear" w:color="auto" w:fill="4BACC6" w:themeFill="accent5"/>
          </w:tcPr>
          <w:p>
            <w:pPr>
              <w:pStyle w:val="123"/>
              <w:ind w:firstLine="0" w:firstLineChars="0"/>
              <w:jc w:val="center"/>
              <w:rPr>
                <w:b/>
                <w:color w:val="FFFFFF" w:themeColor="background1"/>
              </w:rPr>
            </w:pPr>
            <w:r>
              <w:rPr>
                <w:rFonts w:hint="eastAsia"/>
                <w:b/>
                <w:color w:val="FFFFFF" w:themeColor="background1"/>
              </w:rPr>
              <w:t>（N=</w:t>
            </w:r>
            <w:r>
              <w:rPr>
                <w:b/>
                <w:color w:val="FFFFFF" w:themeColor="background1"/>
              </w:rPr>
              <w:t>89</w:t>
            </w:r>
            <w:r>
              <w:rPr>
                <w:rFonts w:hint="eastAsia"/>
                <w:b/>
                <w:color w:val="FFFFFF" w:themeColor="background1"/>
              </w:rPr>
              <w:t>）</w:t>
            </w:r>
          </w:p>
        </w:tc>
        <w:tc>
          <w:tcPr>
            <w:tcW w:w="1360" w:type="dxa"/>
            <w:gridSpan w:val="2"/>
            <w:shd w:val="clear" w:color="auto" w:fill="4BACC6" w:themeFill="accent5"/>
          </w:tcPr>
          <w:p>
            <w:pPr>
              <w:pStyle w:val="123"/>
              <w:ind w:firstLine="0" w:firstLineChars="0"/>
              <w:jc w:val="center"/>
              <w:rPr>
                <w:b/>
                <w:color w:val="FFFFFF" w:themeColor="background1"/>
              </w:rPr>
            </w:pPr>
            <w:r>
              <w:rPr>
                <w:rFonts w:hint="eastAsia"/>
                <w:b/>
                <w:color w:val="FFFFFF" w:themeColor="background1"/>
              </w:rPr>
              <w:t>（N=</w:t>
            </w:r>
            <w:r>
              <w:rPr>
                <w:b/>
                <w:color w:val="FFFFFF" w:themeColor="background1"/>
              </w:rPr>
              <w:t>21</w:t>
            </w:r>
            <w:r>
              <w:rPr>
                <w:rFonts w:hint="eastAsia"/>
                <w:b/>
                <w:color w:val="FFFFFF" w:themeColor="background1"/>
              </w:rPr>
              <w:t>）</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15" w:hRule="atLeast"/>
          <w:jc w:val="center"/>
        </w:trPr>
        <w:tc>
          <w:tcPr>
            <w:tcW w:w="1136" w:type="dxa"/>
            <w:vMerge w:val="continue"/>
            <w:shd w:val="clear" w:color="auto" w:fill="4BACC6" w:themeFill="accent5"/>
          </w:tcPr>
          <w:p>
            <w:pPr>
              <w:rPr>
                <w:rFonts w:ascii="Times New Roman" w:hAnsi="Times New Roman" w:eastAsia="宋体"/>
                <w:b/>
                <w:bCs/>
                <w:color w:val="FFFFFF"/>
                <w:kern w:val="0"/>
              </w:rPr>
            </w:pPr>
          </w:p>
        </w:tc>
        <w:tc>
          <w:tcPr>
            <w:tcW w:w="1985" w:type="dxa"/>
            <w:vMerge w:val="continue"/>
            <w:shd w:val="clear" w:color="auto" w:fill="4BACC6" w:themeFill="accent5"/>
          </w:tcPr>
          <w:p>
            <w:pPr>
              <w:rPr>
                <w:rFonts w:ascii="Times New Roman" w:hAnsi="Times New Roman" w:eastAsia="宋体"/>
                <w:color w:val="FFFFFF"/>
                <w:kern w:val="0"/>
              </w:rPr>
            </w:pPr>
          </w:p>
        </w:tc>
        <w:tc>
          <w:tcPr>
            <w:tcW w:w="665" w:type="dxa"/>
            <w:shd w:val="clear" w:color="auto" w:fill="4BACC6" w:themeFill="accent5"/>
          </w:tcPr>
          <w:p>
            <w:pPr>
              <w:jc w:val="center"/>
              <w:rPr>
                <w:rFonts w:ascii="Times New Roman" w:hAnsi="Times New Roman" w:eastAsia="宋体"/>
                <w:color w:val="FFFFFF"/>
                <w:kern w:val="0"/>
              </w:rPr>
            </w:pPr>
            <w:r>
              <w:rPr>
                <w:rFonts w:hint="eastAsia" w:ascii="Times New Roman" w:hAnsi="Times New Roman" w:eastAsia="宋体"/>
                <w:color w:val="FFFFFF"/>
                <w:kern w:val="0"/>
              </w:rPr>
              <w:t>人数</w:t>
            </w:r>
          </w:p>
        </w:tc>
        <w:tc>
          <w:tcPr>
            <w:tcW w:w="636" w:type="dxa"/>
            <w:shd w:val="clear" w:color="auto" w:fill="4BACC6" w:themeFill="accent5"/>
          </w:tcPr>
          <w:p>
            <w:pPr>
              <w:jc w:val="center"/>
              <w:rPr>
                <w:rFonts w:ascii="Times New Roman" w:hAnsi="Times New Roman" w:eastAsia="宋体"/>
                <w:color w:val="FFFFFF"/>
                <w:kern w:val="0"/>
              </w:rPr>
            </w:pPr>
            <w:r>
              <w:rPr>
                <w:rFonts w:ascii="Times New Roman" w:hAnsi="Times New Roman" w:eastAsia="宋体"/>
                <w:color w:val="FFFFFF"/>
                <w:kern w:val="0"/>
              </w:rPr>
              <w:t>%</w:t>
            </w:r>
          </w:p>
        </w:tc>
        <w:tc>
          <w:tcPr>
            <w:tcW w:w="631" w:type="dxa"/>
            <w:shd w:val="clear" w:color="auto" w:fill="4BACC6" w:themeFill="accent5"/>
          </w:tcPr>
          <w:p>
            <w:pPr>
              <w:jc w:val="center"/>
              <w:rPr>
                <w:rFonts w:ascii="Times New Roman" w:hAnsi="Times New Roman" w:eastAsia="宋体"/>
                <w:color w:val="FFFFFF"/>
                <w:kern w:val="0"/>
              </w:rPr>
            </w:pPr>
            <w:r>
              <w:rPr>
                <w:rFonts w:hint="eastAsia" w:ascii="Times New Roman" w:hAnsi="Times New Roman" w:eastAsia="宋体"/>
                <w:color w:val="FFFFFF"/>
                <w:kern w:val="0"/>
              </w:rPr>
              <w:t>人数</w:t>
            </w:r>
          </w:p>
        </w:tc>
        <w:tc>
          <w:tcPr>
            <w:tcW w:w="748" w:type="dxa"/>
            <w:shd w:val="clear" w:color="auto" w:fill="4BACC6" w:themeFill="accent5"/>
          </w:tcPr>
          <w:p>
            <w:pPr>
              <w:jc w:val="center"/>
              <w:rPr>
                <w:rFonts w:ascii="Times New Roman" w:hAnsi="Times New Roman" w:eastAsia="宋体"/>
                <w:color w:val="FFFFFF"/>
                <w:kern w:val="0"/>
              </w:rPr>
            </w:pPr>
            <w:r>
              <w:rPr>
                <w:rFonts w:hint="eastAsia" w:ascii="Times New Roman" w:hAnsi="Times New Roman" w:eastAsia="宋体"/>
                <w:color w:val="FFFFFF"/>
                <w:kern w:val="0"/>
              </w:rPr>
              <w:t>%</w:t>
            </w:r>
          </w:p>
        </w:tc>
        <w:tc>
          <w:tcPr>
            <w:tcW w:w="740" w:type="dxa"/>
            <w:shd w:val="clear" w:color="auto" w:fill="4BACC6" w:themeFill="accent5"/>
          </w:tcPr>
          <w:p>
            <w:pPr>
              <w:jc w:val="center"/>
              <w:rPr>
                <w:rFonts w:ascii="Times New Roman" w:hAnsi="Times New Roman" w:eastAsia="宋体"/>
                <w:color w:val="FFFFFF"/>
                <w:kern w:val="0"/>
              </w:rPr>
            </w:pPr>
            <w:r>
              <w:rPr>
                <w:rFonts w:hint="eastAsia" w:ascii="Times New Roman" w:hAnsi="Times New Roman" w:eastAsia="宋体"/>
                <w:color w:val="FFFFFF"/>
                <w:kern w:val="0"/>
              </w:rPr>
              <w:t>人数</w:t>
            </w:r>
          </w:p>
        </w:tc>
        <w:tc>
          <w:tcPr>
            <w:tcW w:w="636" w:type="dxa"/>
            <w:shd w:val="clear" w:color="auto" w:fill="4BACC6" w:themeFill="accent5"/>
          </w:tcPr>
          <w:p>
            <w:pPr>
              <w:jc w:val="center"/>
              <w:rPr>
                <w:rFonts w:ascii="Times New Roman" w:hAnsi="Times New Roman" w:eastAsia="宋体"/>
                <w:color w:val="FFFFFF"/>
                <w:kern w:val="0"/>
              </w:rPr>
            </w:pPr>
            <w:r>
              <w:rPr>
                <w:rFonts w:hint="eastAsia" w:ascii="Times New Roman" w:hAnsi="Times New Roman" w:eastAsia="宋体"/>
                <w:color w:val="FFFFFF"/>
                <w:kern w:val="0"/>
              </w:rPr>
              <w:t>%</w:t>
            </w:r>
          </w:p>
        </w:tc>
        <w:tc>
          <w:tcPr>
            <w:tcW w:w="626" w:type="dxa"/>
            <w:shd w:val="clear" w:color="auto" w:fill="4BACC6" w:themeFill="accent5"/>
          </w:tcPr>
          <w:p>
            <w:pPr>
              <w:jc w:val="center"/>
              <w:rPr>
                <w:rFonts w:ascii="Times New Roman" w:hAnsi="Times New Roman" w:eastAsia="宋体"/>
                <w:color w:val="FFFFFF"/>
                <w:kern w:val="0"/>
              </w:rPr>
            </w:pPr>
            <w:r>
              <w:rPr>
                <w:rFonts w:hint="eastAsia" w:ascii="Times New Roman" w:hAnsi="Times New Roman" w:eastAsia="宋体"/>
                <w:color w:val="FFFFFF"/>
                <w:kern w:val="0"/>
              </w:rPr>
              <w:t>人数</w:t>
            </w:r>
          </w:p>
        </w:tc>
        <w:tc>
          <w:tcPr>
            <w:tcW w:w="756" w:type="dxa"/>
            <w:shd w:val="clear" w:color="auto" w:fill="4BACC6" w:themeFill="accent5"/>
          </w:tcPr>
          <w:p>
            <w:pPr>
              <w:jc w:val="center"/>
              <w:rPr>
                <w:rFonts w:ascii="Times New Roman" w:hAnsi="Times New Roman" w:eastAsia="宋体"/>
                <w:color w:val="FFFFFF"/>
                <w:kern w:val="0"/>
              </w:rPr>
            </w:pPr>
            <w:r>
              <w:rPr>
                <w:rFonts w:ascii="Times New Roman" w:hAnsi="Times New Roman" w:eastAsia="宋体"/>
                <w:color w:val="FFFFFF"/>
                <w:kern w:val="0"/>
              </w:rPr>
              <w:t>%</w:t>
            </w:r>
          </w:p>
        </w:tc>
        <w:tc>
          <w:tcPr>
            <w:tcW w:w="608" w:type="dxa"/>
            <w:shd w:val="clear" w:color="auto" w:fill="4BACC6" w:themeFill="accent5"/>
          </w:tcPr>
          <w:p>
            <w:pPr>
              <w:jc w:val="center"/>
              <w:rPr>
                <w:rFonts w:ascii="Times New Roman" w:hAnsi="Times New Roman" w:eastAsia="宋体"/>
                <w:color w:val="FFFFFF"/>
                <w:kern w:val="0"/>
              </w:rPr>
            </w:pPr>
            <w:r>
              <w:rPr>
                <w:rFonts w:hint="eastAsia" w:ascii="Times New Roman" w:hAnsi="Times New Roman" w:eastAsia="宋体"/>
                <w:color w:val="FFFFFF"/>
                <w:kern w:val="0"/>
              </w:rPr>
              <w:t>人数</w:t>
            </w:r>
          </w:p>
        </w:tc>
        <w:tc>
          <w:tcPr>
            <w:tcW w:w="756" w:type="dxa"/>
            <w:shd w:val="clear" w:color="auto" w:fill="4BACC6" w:themeFill="accent5"/>
          </w:tcPr>
          <w:p>
            <w:pPr>
              <w:jc w:val="center"/>
              <w:rPr>
                <w:rFonts w:ascii="Times New Roman" w:hAnsi="Times New Roman" w:eastAsia="宋体"/>
                <w:color w:val="FFFFFF"/>
                <w:kern w:val="0"/>
              </w:rPr>
            </w:pPr>
            <w:r>
              <w:rPr>
                <w:rFonts w:hint="eastAsia" w:ascii="Times New Roman" w:hAnsi="Times New Roman" w:eastAsia="宋体"/>
                <w:color w:val="FFFFFF"/>
                <w:kern w:val="0"/>
              </w:rPr>
              <w:t>%</w:t>
            </w:r>
          </w:p>
        </w:tc>
        <w:tc>
          <w:tcPr>
            <w:tcW w:w="604" w:type="dxa"/>
            <w:shd w:val="clear" w:color="auto" w:fill="4BACC6" w:themeFill="accent5"/>
          </w:tcPr>
          <w:p>
            <w:pPr>
              <w:jc w:val="center"/>
              <w:rPr>
                <w:rFonts w:ascii="Times New Roman" w:hAnsi="Times New Roman" w:eastAsia="宋体"/>
                <w:color w:val="FFFFFF"/>
                <w:kern w:val="0"/>
              </w:rPr>
            </w:pPr>
            <w:r>
              <w:rPr>
                <w:rFonts w:hint="eastAsia" w:ascii="Times New Roman" w:hAnsi="Times New Roman" w:eastAsia="宋体"/>
                <w:color w:val="FFFFFF"/>
                <w:kern w:val="0"/>
              </w:rPr>
              <w:t>人数</w:t>
            </w:r>
          </w:p>
        </w:tc>
        <w:tc>
          <w:tcPr>
            <w:tcW w:w="756" w:type="dxa"/>
            <w:shd w:val="clear" w:color="auto" w:fill="4BACC6" w:themeFill="accent5"/>
          </w:tcPr>
          <w:p>
            <w:pPr>
              <w:jc w:val="center"/>
              <w:rPr>
                <w:rFonts w:ascii="Times New Roman" w:hAnsi="Times New Roman" w:eastAsia="宋体"/>
                <w:color w:val="FFFFFF"/>
                <w:kern w:val="0"/>
              </w:rPr>
            </w:pPr>
            <w:r>
              <w:rPr>
                <w:rFonts w:hint="eastAsia" w:ascii="Times New Roman" w:hAnsi="Times New Roman" w:eastAsia="宋体"/>
                <w:color w:val="FFFFFF"/>
                <w:kern w:val="0"/>
              </w:rPr>
              <w:t>%</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1136" w:type="dxa"/>
            <w:vMerge w:val="restart"/>
            <w:shd w:val="clear" w:color="auto" w:fill="FFFFFF" w:themeFill="background1"/>
            <w:vAlign w:val="center"/>
          </w:tcPr>
          <w:p>
            <w:pPr>
              <w:jc w:val="center"/>
              <w:rPr>
                <w:rFonts w:ascii="Times New Roman" w:hAnsi="Times New Roman" w:eastAsia="宋体"/>
                <w:b/>
                <w:bCs/>
                <w:kern w:val="0"/>
              </w:rPr>
            </w:pPr>
            <w:r>
              <w:rPr>
                <w:rFonts w:hint="eastAsia" w:ascii="Times New Roman" w:hAnsi="Times New Roman" w:eastAsia="宋体"/>
                <w:b/>
                <w:bCs/>
                <w:kern w:val="0"/>
              </w:rPr>
              <w:t>就业</w:t>
            </w:r>
          </w:p>
        </w:tc>
        <w:tc>
          <w:tcPr>
            <w:tcW w:w="1985" w:type="dxa"/>
          </w:tcPr>
          <w:p>
            <w:pPr>
              <w:rPr>
                <w:rFonts w:ascii="Times New Roman" w:hAnsi="Times New Roman" w:eastAsia="宋体"/>
                <w:kern w:val="0"/>
              </w:rPr>
            </w:pPr>
            <w:r>
              <w:rPr>
                <w:rFonts w:hint="eastAsia" w:ascii="Times New Roman" w:hAnsi="Times New Roman" w:eastAsia="宋体"/>
                <w:kern w:val="0"/>
              </w:rPr>
              <w:t>签署三方协议</w:t>
            </w:r>
          </w:p>
        </w:tc>
        <w:tc>
          <w:tcPr>
            <w:tcW w:w="66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63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1.0</w:t>
            </w:r>
          </w:p>
        </w:tc>
        <w:tc>
          <w:tcPr>
            <w:tcW w:w="631"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33</w:t>
            </w:r>
          </w:p>
        </w:tc>
        <w:tc>
          <w:tcPr>
            <w:tcW w:w="748"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9.5</w:t>
            </w:r>
          </w:p>
        </w:tc>
        <w:tc>
          <w:tcPr>
            <w:tcW w:w="740"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44</w:t>
            </w:r>
          </w:p>
        </w:tc>
        <w:tc>
          <w:tcPr>
            <w:tcW w:w="63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34.9</w:t>
            </w:r>
          </w:p>
        </w:tc>
        <w:tc>
          <w:tcPr>
            <w:tcW w:w="626" w:type="dxa"/>
          </w:tcPr>
          <w:p>
            <w:pPr>
              <w:jc w:val="center"/>
              <w:rPr>
                <w:rFonts w:ascii="Times New Roman" w:hAnsi="Times New Roman" w:cs="Times New Roman"/>
                <w:color w:val="000000"/>
                <w:szCs w:val="21"/>
              </w:rPr>
            </w:pPr>
            <w:r>
              <w:rPr>
                <w:rFonts w:ascii="Times New Roman" w:hAnsi="Times New Roman" w:cs="Times New Roman"/>
                <w:color w:val="000000"/>
                <w:szCs w:val="21"/>
              </w:rPr>
              <w:t>38</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11.76</w:t>
            </w:r>
          </w:p>
        </w:tc>
        <w:tc>
          <w:tcPr>
            <w:tcW w:w="608" w:type="dxa"/>
          </w:tcPr>
          <w:p>
            <w:pPr>
              <w:jc w:val="center"/>
              <w:rPr>
                <w:rFonts w:ascii="Times New Roman" w:hAnsi="Times New Roman" w:cs="Times New Roman"/>
                <w:color w:val="000000"/>
                <w:szCs w:val="21"/>
              </w:rPr>
            </w:pPr>
            <w:r>
              <w:rPr>
                <w:rFonts w:ascii="Times New Roman" w:hAnsi="Times New Roman" w:cs="Times New Roman"/>
                <w:color w:val="000000"/>
                <w:szCs w:val="21"/>
              </w:rPr>
              <w:t>21</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23.60</w:t>
            </w:r>
          </w:p>
        </w:tc>
        <w:tc>
          <w:tcPr>
            <w:tcW w:w="604" w:type="dxa"/>
          </w:tcPr>
          <w:p>
            <w:pPr>
              <w:jc w:val="center"/>
              <w:rPr>
                <w:rFonts w:ascii="Times New Roman" w:hAnsi="Times New Roman" w:cs="Times New Roman"/>
                <w:color w:val="000000"/>
                <w:szCs w:val="21"/>
              </w:rPr>
            </w:pPr>
            <w:r>
              <w:rPr>
                <w:rFonts w:ascii="Times New Roman" w:hAnsi="Times New Roman" w:cs="Times New Roman"/>
                <w:color w:val="000000"/>
                <w:szCs w:val="21"/>
              </w:rPr>
              <w:t>15</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71.43</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1136" w:type="dxa"/>
            <w:vMerge w:val="continue"/>
            <w:shd w:val="clear" w:color="auto" w:fill="FFFFFF" w:themeFill="background1"/>
            <w:vAlign w:val="center"/>
          </w:tcPr>
          <w:p>
            <w:pPr>
              <w:jc w:val="center"/>
              <w:rPr>
                <w:rFonts w:ascii="Times New Roman" w:hAnsi="Times New Roman" w:eastAsia="宋体"/>
                <w:b/>
                <w:bCs/>
                <w:kern w:val="0"/>
              </w:rPr>
            </w:pPr>
          </w:p>
        </w:tc>
        <w:tc>
          <w:tcPr>
            <w:tcW w:w="1985"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签订劳动合同</w:t>
            </w:r>
          </w:p>
        </w:tc>
        <w:tc>
          <w:tcPr>
            <w:tcW w:w="665"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63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0.0</w:t>
            </w:r>
          </w:p>
        </w:tc>
        <w:tc>
          <w:tcPr>
            <w:tcW w:w="631"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47</w:t>
            </w:r>
          </w:p>
        </w:tc>
        <w:tc>
          <w:tcPr>
            <w:tcW w:w="748"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13.5</w:t>
            </w:r>
          </w:p>
        </w:tc>
        <w:tc>
          <w:tcPr>
            <w:tcW w:w="740"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14</w:t>
            </w:r>
          </w:p>
        </w:tc>
        <w:tc>
          <w:tcPr>
            <w:tcW w:w="63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11.1</w:t>
            </w:r>
          </w:p>
        </w:tc>
        <w:tc>
          <w:tcPr>
            <w:tcW w:w="62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51</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15.79</w:t>
            </w:r>
          </w:p>
        </w:tc>
        <w:tc>
          <w:tcPr>
            <w:tcW w:w="608"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11</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12.36</w:t>
            </w:r>
          </w:p>
        </w:tc>
        <w:tc>
          <w:tcPr>
            <w:tcW w:w="604"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1136" w:type="dxa"/>
            <w:vMerge w:val="continue"/>
            <w:shd w:val="clear" w:color="auto" w:fill="FFFFFF" w:themeFill="background1"/>
            <w:vAlign w:val="center"/>
          </w:tcPr>
          <w:p>
            <w:pPr>
              <w:jc w:val="center"/>
              <w:rPr>
                <w:rFonts w:ascii="Times New Roman" w:hAnsi="Times New Roman" w:eastAsia="宋体"/>
                <w:b/>
                <w:bCs/>
                <w:kern w:val="0"/>
              </w:rPr>
            </w:pPr>
          </w:p>
        </w:tc>
        <w:tc>
          <w:tcPr>
            <w:tcW w:w="1985" w:type="dxa"/>
          </w:tcPr>
          <w:p>
            <w:pPr>
              <w:rPr>
                <w:rFonts w:ascii="Times New Roman" w:hAnsi="Times New Roman" w:eastAsia="宋体"/>
                <w:kern w:val="0"/>
              </w:rPr>
            </w:pPr>
            <w:r>
              <w:rPr>
                <w:rFonts w:hint="eastAsia" w:ascii="Times New Roman" w:hAnsi="Times New Roman" w:eastAsia="宋体"/>
                <w:kern w:val="0"/>
              </w:rPr>
              <w:t>单位开具用人证明</w:t>
            </w:r>
          </w:p>
        </w:tc>
        <w:tc>
          <w:tcPr>
            <w:tcW w:w="66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63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0.0</w:t>
            </w:r>
          </w:p>
        </w:tc>
        <w:tc>
          <w:tcPr>
            <w:tcW w:w="631"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5</w:t>
            </w:r>
          </w:p>
        </w:tc>
        <w:tc>
          <w:tcPr>
            <w:tcW w:w="748"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1.4</w:t>
            </w:r>
          </w:p>
        </w:tc>
        <w:tc>
          <w:tcPr>
            <w:tcW w:w="740"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22</w:t>
            </w:r>
          </w:p>
        </w:tc>
        <w:tc>
          <w:tcPr>
            <w:tcW w:w="63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17.5</w:t>
            </w:r>
          </w:p>
        </w:tc>
        <w:tc>
          <w:tcPr>
            <w:tcW w:w="626" w:type="dxa"/>
          </w:tcPr>
          <w:p>
            <w:pPr>
              <w:jc w:val="center"/>
              <w:rPr>
                <w:rFonts w:ascii="Times New Roman" w:hAnsi="Times New Roman" w:cs="Times New Roman"/>
                <w:color w:val="000000"/>
                <w:szCs w:val="21"/>
              </w:rPr>
            </w:pPr>
            <w:r>
              <w:rPr>
                <w:rFonts w:ascii="Times New Roman" w:hAnsi="Times New Roman" w:cs="Times New Roman"/>
                <w:color w:val="000000"/>
                <w:szCs w:val="21"/>
              </w:rPr>
              <w:t>11</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3.41</w:t>
            </w:r>
          </w:p>
        </w:tc>
        <w:tc>
          <w:tcPr>
            <w:tcW w:w="608" w:type="dxa"/>
          </w:tcPr>
          <w:p>
            <w:pPr>
              <w:jc w:val="center"/>
              <w:rPr>
                <w:rFonts w:ascii="Times New Roman" w:hAnsi="Times New Roman" w:cs="Times New Roman"/>
                <w:color w:val="000000"/>
                <w:szCs w:val="21"/>
              </w:rPr>
            </w:pPr>
            <w:r>
              <w:rPr>
                <w:rFonts w:ascii="Times New Roman" w:hAnsi="Times New Roman" w:cs="Times New Roman"/>
                <w:color w:val="000000"/>
                <w:szCs w:val="21"/>
              </w:rPr>
              <w:t>17</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19.10</w:t>
            </w:r>
          </w:p>
        </w:tc>
        <w:tc>
          <w:tcPr>
            <w:tcW w:w="604" w:type="dxa"/>
          </w:tcPr>
          <w:p>
            <w:pPr>
              <w:jc w:val="center"/>
              <w:rPr>
                <w:rFonts w:ascii="Times New Roman" w:hAnsi="Times New Roman" w:cs="Times New Roman"/>
                <w:color w:val="000000"/>
                <w:szCs w:val="21"/>
              </w:rPr>
            </w:pPr>
            <w:r>
              <w:rPr>
                <w:rFonts w:ascii="Times New Roman" w:hAnsi="Times New Roman" w:cs="Times New Roman"/>
                <w:color w:val="000000"/>
                <w:szCs w:val="21"/>
              </w:rPr>
              <w:t>2</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9.52</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1136" w:type="dxa"/>
            <w:vMerge w:val="continue"/>
            <w:shd w:val="clear" w:color="auto" w:fill="FFFFFF" w:themeFill="background1"/>
            <w:vAlign w:val="center"/>
          </w:tcPr>
          <w:p>
            <w:pPr>
              <w:jc w:val="center"/>
              <w:rPr>
                <w:rFonts w:ascii="Times New Roman" w:hAnsi="Times New Roman" w:eastAsia="宋体"/>
                <w:b/>
                <w:bCs/>
                <w:kern w:val="0"/>
              </w:rPr>
            </w:pPr>
          </w:p>
        </w:tc>
        <w:tc>
          <w:tcPr>
            <w:tcW w:w="1985"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自由职业</w:t>
            </w:r>
          </w:p>
        </w:tc>
        <w:tc>
          <w:tcPr>
            <w:tcW w:w="665"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87</w:t>
            </w:r>
          </w:p>
        </w:tc>
        <w:tc>
          <w:tcPr>
            <w:tcW w:w="63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90.6</w:t>
            </w:r>
          </w:p>
        </w:tc>
        <w:tc>
          <w:tcPr>
            <w:tcW w:w="631"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196</w:t>
            </w:r>
          </w:p>
        </w:tc>
        <w:tc>
          <w:tcPr>
            <w:tcW w:w="748"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56.3</w:t>
            </w:r>
          </w:p>
        </w:tc>
        <w:tc>
          <w:tcPr>
            <w:tcW w:w="740"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33</w:t>
            </w:r>
          </w:p>
        </w:tc>
        <w:tc>
          <w:tcPr>
            <w:tcW w:w="63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26.2</w:t>
            </w:r>
          </w:p>
        </w:tc>
        <w:tc>
          <w:tcPr>
            <w:tcW w:w="62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163</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50.46</w:t>
            </w:r>
          </w:p>
        </w:tc>
        <w:tc>
          <w:tcPr>
            <w:tcW w:w="608"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30</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33.71</w:t>
            </w:r>
          </w:p>
        </w:tc>
        <w:tc>
          <w:tcPr>
            <w:tcW w:w="604"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3</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14.29</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1136" w:type="dxa"/>
            <w:vMerge w:val="continue"/>
            <w:shd w:val="clear" w:color="auto" w:fill="FFFFFF" w:themeFill="background1"/>
            <w:vAlign w:val="center"/>
          </w:tcPr>
          <w:p>
            <w:pPr>
              <w:jc w:val="center"/>
              <w:rPr>
                <w:rFonts w:ascii="Times New Roman" w:hAnsi="Times New Roman" w:eastAsia="宋体"/>
                <w:b/>
                <w:bCs/>
                <w:kern w:val="0"/>
              </w:rPr>
            </w:pPr>
          </w:p>
        </w:tc>
        <w:tc>
          <w:tcPr>
            <w:tcW w:w="1985" w:type="dxa"/>
          </w:tcPr>
          <w:p>
            <w:pPr>
              <w:rPr>
                <w:rFonts w:ascii="Times New Roman" w:hAnsi="Times New Roman" w:eastAsia="宋体"/>
                <w:kern w:val="0"/>
              </w:rPr>
            </w:pPr>
            <w:r>
              <w:rPr>
                <w:rFonts w:hint="eastAsia" w:ascii="Times New Roman" w:hAnsi="Times New Roman" w:eastAsia="宋体"/>
                <w:kern w:val="0"/>
              </w:rPr>
              <w:t>自主创业</w:t>
            </w:r>
          </w:p>
        </w:tc>
        <w:tc>
          <w:tcPr>
            <w:tcW w:w="66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63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1.0</w:t>
            </w:r>
          </w:p>
        </w:tc>
        <w:tc>
          <w:tcPr>
            <w:tcW w:w="631"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7</w:t>
            </w:r>
          </w:p>
        </w:tc>
        <w:tc>
          <w:tcPr>
            <w:tcW w:w="748"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2.0</w:t>
            </w:r>
          </w:p>
        </w:tc>
        <w:tc>
          <w:tcPr>
            <w:tcW w:w="740"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5</w:t>
            </w:r>
          </w:p>
        </w:tc>
        <w:tc>
          <w:tcPr>
            <w:tcW w:w="63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4.0</w:t>
            </w:r>
          </w:p>
        </w:tc>
        <w:tc>
          <w:tcPr>
            <w:tcW w:w="626" w:type="dxa"/>
          </w:tcPr>
          <w:p>
            <w:pPr>
              <w:jc w:val="center"/>
              <w:rPr>
                <w:rFonts w:ascii="Times New Roman" w:hAnsi="Times New Roman" w:cs="Times New Roman"/>
                <w:color w:val="000000"/>
                <w:szCs w:val="21"/>
              </w:rPr>
            </w:pPr>
            <w:r>
              <w:rPr>
                <w:rFonts w:ascii="Times New Roman" w:hAnsi="Times New Roman" w:cs="Times New Roman"/>
                <w:color w:val="000000"/>
                <w:szCs w:val="21"/>
              </w:rPr>
              <w:t>12</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3.72</w:t>
            </w:r>
          </w:p>
        </w:tc>
        <w:tc>
          <w:tcPr>
            <w:tcW w:w="608" w:type="dxa"/>
          </w:tcPr>
          <w:p>
            <w:pPr>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1.12</w:t>
            </w:r>
          </w:p>
        </w:tc>
        <w:tc>
          <w:tcPr>
            <w:tcW w:w="604" w:type="dxa"/>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1136" w:type="dxa"/>
            <w:vMerge w:val="restart"/>
            <w:shd w:val="clear" w:color="auto" w:fill="FFFFFF" w:themeFill="background1"/>
            <w:vAlign w:val="center"/>
          </w:tcPr>
          <w:p>
            <w:pPr>
              <w:jc w:val="center"/>
              <w:rPr>
                <w:rFonts w:ascii="Times New Roman" w:hAnsi="Times New Roman" w:eastAsia="宋体"/>
                <w:b/>
                <w:bCs/>
                <w:kern w:val="0"/>
              </w:rPr>
            </w:pPr>
            <w:r>
              <w:rPr>
                <w:rFonts w:hint="eastAsia" w:ascii="Times New Roman" w:hAnsi="Times New Roman" w:eastAsia="宋体"/>
                <w:b/>
                <w:bCs/>
                <w:kern w:val="0"/>
              </w:rPr>
              <w:t>深造</w:t>
            </w:r>
          </w:p>
        </w:tc>
        <w:tc>
          <w:tcPr>
            <w:tcW w:w="1985"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国内升学</w:t>
            </w:r>
          </w:p>
        </w:tc>
        <w:tc>
          <w:tcPr>
            <w:tcW w:w="665"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63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0.0</w:t>
            </w:r>
          </w:p>
        </w:tc>
        <w:tc>
          <w:tcPr>
            <w:tcW w:w="631"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25</w:t>
            </w:r>
          </w:p>
        </w:tc>
        <w:tc>
          <w:tcPr>
            <w:tcW w:w="748"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7.2</w:t>
            </w:r>
          </w:p>
        </w:tc>
        <w:tc>
          <w:tcPr>
            <w:tcW w:w="740"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8</w:t>
            </w:r>
          </w:p>
        </w:tc>
        <w:tc>
          <w:tcPr>
            <w:tcW w:w="63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6.3</w:t>
            </w:r>
          </w:p>
        </w:tc>
        <w:tc>
          <w:tcPr>
            <w:tcW w:w="62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31</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9.60</w:t>
            </w:r>
          </w:p>
        </w:tc>
        <w:tc>
          <w:tcPr>
            <w:tcW w:w="608"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7</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7.87</w:t>
            </w:r>
          </w:p>
        </w:tc>
        <w:tc>
          <w:tcPr>
            <w:tcW w:w="604"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4.76</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1136" w:type="dxa"/>
            <w:vMerge w:val="continue"/>
            <w:shd w:val="clear" w:color="auto" w:fill="FFFFFF" w:themeFill="background1"/>
            <w:vAlign w:val="center"/>
          </w:tcPr>
          <w:p>
            <w:pPr>
              <w:jc w:val="center"/>
              <w:rPr>
                <w:rFonts w:ascii="Times New Roman" w:hAnsi="Times New Roman" w:eastAsia="宋体"/>
                <w:b/>
                <w:bCs/>
                <w:kern w:val="0"/>
              </w:rPr>
            </w:pPr>
          </w:p>
        </w:tc>
        <w:tc>
          <w:tcPr>
            <w:tcW w:w="1985" w:type="dxa"/>
          </w:tcPr>
          <w:p>
            <w:pPr>
              <w:rPr>
                <w:rFonts w:ascii="Times New Roman" w:hAnsi="Times New Roman" w:eastAsia="宋体"/>
                <w:kern w:val="0"/>
              </w:rPr>
            </w:pPr>
            <w:r>
              <w:rPr>
                <w:rFonts w:hint="eastAsia" w:ascii="Times New Roman" w:hAnsi="Times New Roman" w:eastAsia="宋体"/>
                <w:kern w:val="0"/>
              </w:rPr>
              <w:t>出国（境）留学</w:t>
            </w:r>
          </w:p>
        </w:tc>
        <w:tc>
          <w:tcPr>
            <w:tcW w:w="66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63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1.0</w:t>
            </w:r>
          </w:p>
        </w:tc>
        <w:tc>
          <w:tcPr>
            <w:tcW w:w="631"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14</w:t>
            </w:r>
          </w:p>
        </w:tc>
        <w:tc>
          <w:tcPr>
            <w:tcW w:w="748"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4.0</w:t>
            </w:r>
          </w:p>
        </w:tc>
        <w:tc>
          <w:tcPr>
            <w:tcW w:w="740"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63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0.0</w:t>
            </w:r>
          </w:p>
        </w:tc>
        <w:tc>
          <w:tcPr>
            <w:tcW w:w="626" w:type="dxa"/>
          </w:tcPr>
          <w:p>
            <w:pPr>
              <w:jc w:val="center"/>
              <w:rPr>
                <w:rFonts w:ascii="Times New Roman" w:hAnsi="Times New Roman" w:cs="Times New Roman"/>
                <w:color w:val="000000"/>
                <w:szCs w:val="21"/>
              </w:rPr>
            </w:pPr>
            <w:r>
              <w:rPr>
                <w:rFonts w:ascii="Times New Roman" w:hAnsi="Times New Roman" w:cs="Times New Roman"/>
                <w:color w:val="000000"/>
                <w:szCs w:val="21"/>
              </w:rPr>
              <w:t>9</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2.79</w:t>
            </w:r>
          </w:p>
        </w:tc>
        <w:tc>
          <w:tcPr>
            <w:tcW w:w="608" w:type="dxa"/>
          </w:tcPr>
          <w:p>
            <w:pPr>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1.12</w:t>
            </w:r>
          </w:p>
        </w:tc>
        <w:tc>
          <w:tcPr>
            <w:tcW w:w="604" w:type="dxa"/>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1136" w:type="dxa"/>
            <w:vMerge w:val="restart"/>
            <w:shd w:val="clear" w:color="auto" w:fill="FFFFFF" w:themeFill="background1"/>
            <w:vAlign w:val="center"/>
          </w:tcPr>
          <w:p>
            <w:pPr>
              <w:jc w:val="center"/>
              <w:rPr>
                <w:rFonts w:ascii="Times New Roman" w:hAnsi="Times New Roman" w:eastAsia="宋体"/>
                <w:b/>
                <w:bCs/>
                <w:kern w:val="0"/>
              </w:rPr>
            </w:pPr>
            <w:r>
              <w:rPr>
                <w:rFonts w:hint="eastAsia" w:ascii="Times New Roman" w:hAnsi="Times New Roman" w:eastAsia="宋体"/>
                <w:b/>
                <w:bCs/>
                <w:kern w:val="0"/>
              </w:rPr>
              <w:t>未就业</w:t>
            </w:r>
          </w:p>
        </w:tc>
        <w:tc>
          <w:tcPr>
            <w:tcW w:w="1985" w:type="dxa"/>
            <w:shd w:val="clear" w:color="auto" w:fill="DAEEF3" w:themeFill="accent5" w:themeFillTint="33"/>
          </w:tcPr>
          <w:p>
            <w:pPr>
              <w:rPr>
                <w:rFonts w:ascii="Times New Roman" w:hAnsi="Times New Roman" w:eastAsia="宋体"/>
                <w:kern w:val="0"/>
              </w:rPr>
            </w:pPr>
            <w:r>
              <w:rPr>
                <w:rFonts w:hint="eastAsia" w:ascii="Times New Roman" w:hAnsi="Times New Roman" w:eastAsia="宋体"/>
                <w:kern w:val="0"/>
              </w:rPr>
              <w:t>求职中</w:t>
            </w:r>
          </w:p>
        </w:tc>
        <w:tc>
          <w:tcPr>
            <w:tcW w:w="665"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5</w:t>
            </w:r>
          </w:p>
        </w:tc>
        <w:tc>
          <w:tcPr>
            <w:tcW w:w="63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5.2</w:t>
            </w:r>
          </w:p>
        </w:tc>
        <w:tc>
          <w:tcPr>
            <w:tcW w:w="631"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9</w:t>
            </w:r>
          </w:p>
        </w:tc>
        <w:tc>
          <w:tcPr>
            <w:tcW w:w="748"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2.6</w:t>
            </w:r>
          </w:p>
        </w:tc>
        <w:tc>
          <w:tcPr>
            <w:tcW w:w="740"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63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0.0</w:t>
            </w:r>
          </w:p>
        </w:tc>
        <w:tc>
          <w:tcPr>
            <w:tcW w:w="62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0.00</w:t>
            </w:r>
          </w:p>
        </w:tc>
        <w:tc>
          <w:tcPr>
            <w:tcW w:w="608"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0.00</w:t>
            </w:r>
          </w:p>
        </w:tc>
        <w:tc>
          <w:tcPr>
            <w:tcW w:w="604"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1136" w:type="dxa"/>
            <w:vMerge w:val="continue"/>
            <w:shd w:val="clear" w:color="auto" w:fill="FFFFFF" w:themeFill="background1"/>
            <w:vAlign w:val="center"/>
          </w:tcPr>
          <w:p>
            <w:pPr>
              <w:jc w:val="center"/>
              <w:rPr>
                <w:rFonts w:ascii="Times New Roman" w:hAnsi="Times New Roman" w:eastAsia="宋体"/>
                <w:b/>
                <w:bCs/>
                <w:kern w:val="0"/>
              </w:rPr>
            </w:pPr>
          </w:p>
        </w:tc>
        <w:tc>
          <w:tcPr>
            <w:tcW w:w="1985" w:type="dxa"/>
            <w:vAlign w:val="center"/>
          </w:tcPr>
          <w:p>
            <w:pPr>
              <w:pStyle w:val="53"/>
              <w:rPr>
                <w:kern w:val="0"/>
              </w:rPr>
            </w:pPr>
            <w:r>
              <w:rPr>
                <w:rFonts w:hint="eastAsia"/>
                <w:kern w:val="0"/>
              </w:rPr>
              <w:t>拟升学不就业</w:t>
            </w:r>
          </w:p>
        </w:tc>
        <w:tc>
          <w:tcPr>
            <w:tcW w:w="66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63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0.0</w:t>
            </w:r>
          </w:p>
        </w:tc>
        <w:tc>
          <w:tcPr>
            <w:tcW w:w="631"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4</w:t>
            </w:r>
          </w:p>
        </w:tc>
        <w:tc>
          <w:tcPr>
            <w:tcW w:w="748"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1.1</w:t>
            </w:r>
          </w:p>
        </w:tc>
        <w:tc>
          <w:tcPr>
            <w:tcW w:w="740"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63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0.0</w:t>
            </w:r>
          </w:p>
        </w:tc>
        <w:tc>
          <w:tcPr>
            <w:tcW w:w="626" w:type="dxa"/>
          </w:tcPr>
          <w:p>
            <w:pPr>
              <w:jc w:val="center"/>
              <w:rPr>
                <w:rFonts w:ascii="Times New Roman" w:hAnsi="Times New Roman" w:cs="Times New Roman"/>
                <w:color w:val="000000"/>
                <w:szCs w:val="21"/>
              </w:rPr>
            </w:pPr>
            <w:r>
              <w:rPr>
                <w:rFonts w:ascii="Times New Roman" w:hAnsi="Times New Roman" w:cs="Times New Roman"/>
                <w:color w:val="000000"/>
                <w:szCs w:val="21"/>
              </w:rPr>
              <w:t>5</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1.55</w:t>
            </w:r>
          </w:p>
        </w:tc>
        <w:tc>
          <w:tcPr>
            <w:tcW w:w="608" w:type="dxa"/>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0.00</w:t>
            </w:r>
          </w:p>
        </w:tc>
        <w:tc>
          <w:tcPr>
            <w:tcW w:w="604" w:type="dxa"/>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1136" w:type="dxa"/>
            <w:vMerge w:val="continue"/>
            <w:shd w:val="clear" w:color="auto" w:fill="FFFFFF" w:themeFill="background1"/>
            <w:vAlign w:val="center"/>
          </w:tcPr>
          <w:p>
            <w:pPr>
              <w:jc w:val="center"/>
              <w:rPr>
                <w:rFonts w:ascii="Times New Roman" w:hAnsi="Times New Roman" w:eastAsia="宋体"/>
                <w:b/>
                <w:bCs/>
                <w:kern w:val="0"/>
              </w:rPr>
            </w:pPr>
          </w:p>
        </w:tc>
        <w:tc>
          <w:tcPr>
            <w:tcW w:w="1985" w:type="dxa"/>
            <w:shd w:val="clear" w:color="auto" w:fill="DAEEF3" w:themeFill="accent5" w:themeFillTint="33"/>
            <w:vAlign w:val="center"/>
          </w:tcPr>
          <w:p>
            <w:pPr>
              <w:pStyle w:val="53"/>
              <w:rPr>
                <w:kern w:val="0"/>
              </w:rPr>
            </w:pPr>
            <w:r>
              <w:rPr>
                <w:rFonts w:hint="eastAsia"/>
                <w:kern w:val="0"/>
              </w:rPr>
              <w:t>拟出国不就业</w:t>
            </w:r>
          </w:p>
        </w:tc>
        <w:tc>
          <w:tcPr>
            <w:tcW w:w="665"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63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1.0</w:t>
            </w:r>
          </w:p>
        </w:tc>
        <w:tc>
          <w:tcPr>
            <w:tcW w:w="631"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6</w:t>
            </w:r>
          </w:p>
        </w:tc>
        <w:tc>
          <w:tcPr>
            <w:tcW w:w="748"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1.7</w:t>
            </w:r>
          </w:p>
        </w:tc>
        <w:tc>
          <w:tcPr>
            <w:tcW w:w="740"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636" w:type="dxa"/>
            <w:shd w:val="clear" w:color="auto" w:fill="DAEEF3" w:themeFill="accent5" w:themeFillTint="33"/>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0.0</w:t>
            </w:r>
          </w:p>
        </w:tc>
        <w:tc>
          <w:tcPr>
            <w:tcW w:w="62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3</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0.93</w:t>
            </w:r>
          </w:p>
        </w:tc>
        <w:tc>
          <w:tcPr>
            <w:tcW w:w="608"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1.12</w:t>
            </w:r>
          </w:p>
        </w:tc>
        <w:tc>
          <w:tcPr>
            <w:tcW w:w="604"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756" w:type="dxa"/>
            <w:shd w:val="clear" w:color="auto" w:fill="DAEEF3" w:themeFill="accent5" w:themeFillTint="33"/>
          </w:tcPr>
          <w:p>
            <w:pPr>
              <w:jc w:val="center"/>
              <w:rPr>
                <w:rFonts w:ascii="Times New Roman" w:hAnsi="Times New Roman" w:cs="Times New Roman"/>
                <w:color w:val="000000"/>
                <w:szCs w:val="21"/>
              </w:rPr>
            </w:pPr>
            <w:r>
              <w:rPr>
                <w:rFonts w:ascii="Times New Roman" w:hAnsi="Times New Roman" w:cs="Times New Roman"/>
                <w:color w:val="000000"/>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1136" w:type="dxa"/>
            <w:vMerge w:val="continue"/>
            <w:shd w:val="clear" w:color="auto" w:fill="FFFFFF" w:themeFill="background1"/>
            <w:vAlign w:val="center"/>
          </w:tcPr>
          <w:p>
            <w:pPr>
              <w:jc w:val="center"/>
              <w:rPr>
                <w:rFonts w:ascii="Times New Roman" w:hAnsi="Times New Roman" w:eastAsia="宋体"/>
                <w:b/>
                <w:bCs/>
                <w:kern w:val="0"/>
              </w:rPr>
            </w:pPr>
          </w:p>
        </w:tc>
        <w:tc>
          <w:tcPr>
            <w:tcW w:w="1985" w:type="dxa"/>
            <w:vAlign w:val="center"/>
          </w:tcPr>
          <w:p>
            <w:pPr>
              <w:pStyle w:val="53"/>
              <w:rPr>
                <w:kern w:val="0"/>
              </w:rPr>
            </w:pPr>
            <w:r>
              <w:rPr>
                <w:rFonts w:hint="eastAsia"/>
                <w:kern w:val="0"/>
              </w:rPr>
              <w:t>暂不就业</w:t>
            </w:r>
          </w:p>
        </w:tc>
        <w:tc>
          <w:tcPr>
            <w:tcW w:w="66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63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0.0</w:t>
            </w:r>
          </w:p>
        </w:tc>
        <w:tc>
          <w:tcPr>
            <w:tcW w:w="631"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w:t>
            </w:r>
          </w:p>
        </w:tc>
        <w:tc>
          <w:tcPr>
            <w:tcW w:w="748"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0.6</w:t>
            </w:r>
          </w:p>
        </w:tc>
        <w:tc>
          <w:tcPr>
            <w:tcW w:w="740"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63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0.0</w:t>
            </w:r>
          </w:p>
        </w:tc>
        <w:tc>
          <w:tcPr>
            <w:tcW w:w="626" w:type="dxa"/>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0.00</w:t>
            </w:r>
          </w:p>
        </w:tc>
        <w:tc>
          <w:tcPr>
            <w:tcW w:w="608" w:type="dxa"/>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0.00</w:t>
            </w:r>
          </w:p>
        </w:tc>
        <w:tc>
          <w:tcPr>
            <w:tcW w:w="604" w:type="dxa"/>
          </w:tcPr>
          <w:p>
            <w:pPr>
              <w:jc w:val="center"/>
              <w:rPr>
                <w:rFonts w:ascii="Times New Roman" w:hAnsi="Times New Roman" w:cs="Times New Roman"/>
                <w:color w:val="000000"/>
                <w:szCs w:val="21"/>
              </w:rPr>
            </w:pPr>
            <w:r>
              <w:rPr>
                <w:rFonts w:ascii="Times New Roman" w:hAnsi="Times New Roman" w:cs="Times New Roman"/>
                <w:color w:val="000000"/>
                <w:szCs w:val="21"/>
              </w:rPr>
              <w:t>0</w:t>
            </w:r>
          </w:p>
        </w:tc>
        <w:tc>
          <w:tcPr>
            <w:tcW w:w="756" w:type="dxa"/>
          </w:tcPr>
          <w:p>
            <w:pPr>
              <w:jc w:val="center"/>
              <w:rPr>
                <w:rFonts w:ascii="Times New Roman" w:hAnsi="Times New Roman" w:cs="Times New Roman"/>
                <w:color w:val="000000"/>
                <w:szCs w:val="21"/>
              </w:rPr>
            </w:pPr>
            <w:r>
              <w:rPr>
                <w:rFonts w:ascii="Times New Roman" w:hAnsi="Times New Roman" w:cs="Times New Roman"/>
                <w:color w:val="000000"/>
                <w:szCs w:val="21"/>
              </w:rPr>
              <w:t>0.00</w:t>
            </w:r>
          </w:p>
        </w:tc>
      </w:tr>
    </w:tbl>
    <w:p/>
    <w:p>
      <w:pPr>
        <w:pStyle w:val="67"/>
        <w:spacing w:before="156" w:after="156"/>
        <w:ind w:left="240"/>
      </w:pPr>
      <w:r>
        <w:rPr>
          <w:rFonts w:hint="eastAsia"/>
        </w:rPr>
        <w:t>5</w:t>
      </w:r>
      <w:r>
        <w:t>.</w:t>
      </w:r>
      <w:bookmarkEnd w:id="55"/>
      <w:bookmarkEnd w:id="56"/>
      <w:bookmarkStart w:id="66" w:name="_Toc406677045"/>
      <w:bookmarkStart w:id="67" w:name="_Toc399157312"/>
      <w:r>
        <w:rPr>
          <w:rFonts w:hint="eastAsia"/>
        </w:rPr>
        <w:t>不同专业毕业生</w:t>
      </w:r>
      <w:bookmarkEnd w:id="66"/>
      <w:bookmarkEnd w:id="67"/>
      <w:r>
        <w:rPr>
          <w:rFonts w:hint="eastAsia"/>
        </w:rPr>
        <w:t>就业率</w:t>
      </w:r>
    </w:p>
    <w:p>
      <w:pPr>
        <w:pStyle w:val="123"/>
        <w:ind w:firstLine="480"/>
      </w:pPr>
      <w:r>
        <w:rPr>
          <w:rFonts w:hint="eastAsia"/>
        </w:rPr>
        <w:t>数据显示，</w:t>
      </w:r>
      <w:bookmarkStart w:id="68" w:name="PO_2216A"/>
      <w:bookmarkEnd w:id="68"/>
      <w:r>
        <w:rPr>
          <w:rFonts w:hint="eastAsia"/>
        </w:rPr>
        <w:t>本校17个专业的就业率均在86.36%以上。导演（演出制作）等10个专业的就业率最高，为100.00%，</w:t>
      </w:r>
      <w:bookmarkStart w:id="69" w:name="PO_2216B"/>
      <w:bookmarkEnd w:id="69"/>
      <w:r>
        <w:rPr>
          <w:rFonts w:hint="eastAsia"/>
        </w:rPr>
        <w:t>表演的就业率最低，为86.36%。</w:t>
      </w:r>
    </w:p>
    <w:p>
      <w:pPr>
        <w:pStyle w:val="123"/>
        <w:ind w:firstLine="480"/>
      </w:pPr>
      <w:r>
        <w:rPr>
          <w:rFonts w:hint="eastAsia"/>
        </w:rPr>
        <w:t>具体来看</w:t>
      </w:r>
      <w:r>
        <w:t>，</w:t>
      </w:r>
      <w:bookmarkStart w:id="70" w:name="PO_2216C"/>
      <w:bookmarkEnd w:id="70"/>
      <w:r>
        <w:rPr>
          <w:rFonts w:hint="eastAsia"/>
        </w:rPr>
        <w:t>选择自由职业比例最高的专业为公共事业管理(影视制片管理)；选择签署三方协议比例最高的专业为导演（演出制作）。</w:t>
      </w:r>
    </w:p>
    <w:p>
      <w:pPr>
        <w:pStyle w:val="55"/>
        <w:adjustRightInd/>
        <w:snapToGrid/>
        <w:spacing w:before="312" w:after="156"/>
        <w:ind w:left="420" w:hanging="420"/>
      </w:pPr>
      <w:bookmarkStart w:id="71" w:name="PO_2216D"/>
      <w:bookmarkEnd w:id="71"/>
      <w:r>
        <w:rPr>
          <w:rFonts w:hint="eastAsia"/>
        </w:rPr>
        <w:t>不同专业毕业生毕业去向</w:t>
      </w:r>
    </w:p>
    <w:tbl>
      <w:tblPr>
        <w:tblStyle w:val="32"/>
        <w:tblW w:w="10427" w:type="dxa"/>
        <w:jc w:val="center"/>
        <w:tblInd w:w="0" w:type="dxa"/>
        <w:tblLayout w:type="fixed"/>
        <w:tblCellMar>
          <w:top w:w="0" w:type="dxa"/>
          <w:left w:w="108" w:type="dxa"/>
          <w:bottom w:w="0" w:type="dxa"/>
          <w:right w:w="108" w:type="dxa"/>
        </w:tblCellMar>
      </w:tblPr>
      <w:tblGrid>
        <w:gridCol w:w="1843"/>
        <w:gridCol w:w="793"/>
        <w:gridCol w:w="833"/>
        <w:gridCol w:w="1055"/>
        <w:gridCol w:w="1055"/>
        <w:gridCol w:w="794"/>
        <w:gridCol w:w="709"/>
        <w:gridCol w:w="818"/>
        <w:gridCol w:w="955"/>
        <w:gridCol w:w="704"/>
        <w:gridCol w:w="868"/>
      </w:tblGrid>
      <w:tr>
        <w:tblPrEx>
          <w:tblLayout w:type="fixed"/>
          <w:tblCellMar>
            <w:top w:w="0" w:type="dxa"/>
            <w:left w:w="108" w:type="dxa"/>
            <w:bottom w:w="0" w:type="dxa"/>
            <w:right w:w="108" w:type="dxa"/>
          </w:tblCellMar>
        </w:tblPrEx>
        <w:trPr>
          <w:trHeight w:val="300" w:hRule="atLeast"/>
          <w:jc w:val="center"/>
        </w:trPr>
        <w:tc>
          <w:tcPr>
            <w:tcW w:w="1843" w:type="dxa"/>
            <w:vMerge w:val="restart"/>
            <w:tcBorders>
              <w:top w:val="single" w:color="4BACC6" w:sz="8" w:space="0"/>
              <w:left w:val="single" w:color="4BACC6" w:sz="8" w:space="0"/>
              <w:bottom w:val="single" w:color="92CDDC" w:sz="8" w:space="0"/>
              <w:right w:val="nil"/>
            </w:tcBorders>
            <w:shd w:val="clear" w:color="000000" w:fill="4BACC6"/>
            <w:vAlign w:val="center"/>
          </w:tcPr>
          <w:p>
            <w:pPr>
              <w:widowControl/>
              <w:rPr>
                <w:rFonts w:ascii="宋体" w:hAnsi="宋体" w:eastAsia="宋体" w:cs="宋体"/>
                <w:b/>
                <w:bCs/>
                <w:color w:val="FFFFFF"/>
                <w:kern w:val="0"/>
                <w:szCs w:val="21"/>
              </w:rPr>
            </w:pPr>
            <w:r>
              <w:rPr>
                <w:rFonts w:hint="eastAsia" w:ascii="宋体" w:hAnsi="宋体" w:eastAsia="宋体" w:cs="宋体"/>
                <w:b/>
                <w:bCs/>
                <w:color w:val="FFFFFF"/>
                <w:kern w:val="0"/>
                <w:szCs w:val="21"/>
              </w:rPr>
              <w:t>专业</w:t>
            </w:r>
          </w:p>
        </w:tc>
        <w:tc>
          <w:tcPr>
            <w:tcW w:w="793" w:type="dxa"/>
            <w:vMerge w:val="restart"/>
            <w:tcBorders>
              <w:top w:val="single" w:color="4BACC6" w:sz="8" w:space="0"/>
              <w:left w:val="nil"/>
              <w:bottom w:val="single" w:color="92CDDC" w:sz="8" w:space="0"/>
              <w:right w:val="nil"/>
            </w:tcBorders>
            <w:shd w:val="clear" w:color="000000" w:fill="4BACC6"/>
          </w:tcPr>
          <w:p>
            <w:pPr>
              <w:widowControl/>
              <w:jc w:val="left"/>
              <w:rPr>
                <w:rFonts w:ascii="Calibri" w:hAnsi="Calibri" w:eastAsia="等线" w:cs="宋体"/>
                <w:color w:val="000000"/>
                <w:kern w:val="0"/>
                <w:szCs w:val="21"/>
              </w:rPr>
            </w:pPr>
            <w:r>
              <w:rPr>
                <w:rFonts w:ascii="Calibri" w:hAnsi="Calibri" w:eastAsia="等线" w:cs="宋体"/>
                <w:color w:val="000000"/>
                <w:kern w:val="0"/>
                <w:szCs w:val="21"/>
              </w:rPr>
              <w:t>　</w:t>
            </w:r>
          </w:p>
        </w:tc>
        <w:tc>
          <w:tcPr>
            <w:tcW w:w="6219" w:type="dxa"/>
            <w:gridSpan w:val="7"/>
            <w:tcBorders>
              <w:top w:val="single" w:color="4BACC6" w:sz="8" w:space="0"/>
              <w:left w:val="nil"/>
              <w:bottom w:val="single" w:color="4BACC6" w:sz="8" w:space="0"/>
              <w:right w:val="single" w:color="4BACC6" w:sz="8" w:space="0"/>
            </w:tcBorders>
            <w:shd w:val="clear" w:color="000000" w:fill="4BACC6"/>
            <w:vAlign w:val="center"/>
          </w:tcPr>
          <w:p>
            <w:pPr>
              <w:widowControl/>
              <w:jc w:val="center"/>
              <w:rPr>
                <w:rFonts w:ascii="宋体" w:hAnsi="宋体" w:eastAsia="宋体" w:cs="宋体"/>
                <w:b/>
                <w:bCs/>
                <w:color w:val="FFFFFF"/>
                <w:kern w:val="0"/>
                <w:szCs w:val="21"/>
              </w:rPr>
            </w:pPr>
            <w:r>
              <w:rPr>
                <w:rFonts w:hint="eastAsia" w:ascii="宋体" w:hAnsi="宋体" w:eastAsia="宋体" w:cs="宋体"/>
                <w:b/>
                <w:bCs/>
                <w:color w:val="FFFFFF"/>
                <w:kern w:val="0"/>
                <w:szCs w:val="21"/>
              </w:rPr>
              <w:t>就业</w:t>
            </w:r>
            <w:r>
              <w:rPr>
                <w:rFonts w:ascii="Calibri" w:hAnsi="Calibri" w:eastAsia="宋体" w:cs="宋体"/>
                <w:b/>
                <w:bCs/>
                <w:color w:val="FFFFFF"/>
                <w:kern w:val="0"/>
                <w:szCs w:val="21"/>
              </w:rPr>
              <w:t>%</w:t>
            </w:r>
          </w:p>
        </w:tc>
        <w:tc>
          <w:tcPr>
            <w:tcW w:w="1572" w:type="dxa"/>
            <w:gridSpan w:val="2"/>
            <w:tcBorders>
              <w:top w:val="single" w:color="4BACC6" w:sz="8" w:space="0"/>
              <w:left w:val="nil"/>
              <w:bottom w:val="single" w:color="4BACC6" w:sz="8" w:space="0"/>
              <w:right w:val="nil"/>
            </w:tcBorders>
            <w:shd w:val="clear" w:color="000000" w:fill="4BACC6"/>
            <w:vAlign w:val="center"/>
          </w:tcPr>
          <w:p>
            <w:pPr>
              <w:widowControl/>
              <w:jc w:val="center"/>
              <w:rPr>
                <w:rFonts w:ascii="宋体" w:hAnsi="宋体" w:eastAsia="宋体" w:cs="宋体"/>
                <w:b/>
                <w:bCs/>
                <w:color w:val="FFFFFF"/>
                <w:kern w:val="0"/>
                <w:szCs w:val="21"/>
              </w:rPr>
            </w:pPr>
            <w:r>
              <w:rPr>
                <w:rFonts w:hint="eastAsia" w:ascii="宋体" w:hAnsi="宋体" w:eastAsia="宋体" w:cs="宋体"/>
                <w:b/>
                <w:bCs/>
                <w:color w:val="FFFFFF"/>
                <w:kern w:val="0"/>
                <w:szCs w:val="21"/>
              </w:rPr>
              <w:t>未就业%</w:t>
            </w:r>
          </w:p>
        </w:tc>
      </w:tr>
      <w:tr>
        <w:tblPrEx>
          <w:tblLayout w:type="fixed"/>
          <w:tblCellMar>
            <w:top w:w="0" w:type="dxa"/>
            <w:left w:w="108" w:type="dxa"/>
            <w:bottom w:w="0" w:type="dxa"/>
            <w:right w:w="108" w:type="dxa"/>
          </w:tblCellMar>
        </w:tblPrEx>
        <w:trPr>
          <w:trHeight w:val="1035" w:hRule="atLeast"/>
          <w:jc w:val="center"/>
        </w:trPr>
        <w:tc>
          <w:tcPr>
            <w:tcW w:w="1843" w:type="dxa"/>
            <w:vMerge w:val="continue"/>
            <w:tcBorders>
              <w:top w:val="single" w:color="4BACC6" w:sz="8" w:space="0"/>
              <w:left w:val="single" w:color="4BACC6" w:sz="8" w:space="0"/>
              <w:bottom w:val="single" w:color="92CDDC" w:sz="8" w:space="0"/>
              <w:right w:val="nil"/>
            </w:tcBorders>
            <w:vAlign w:val="center"/>
          </w:tcPr>
          <w:p>
            <w:pPr>
              <w:widowControl/>
              <w:jc w:val="left"/>
              <w:rPr>
                <w:rFonts w:ascii="宋体" w:hAnsi="宋体" w:eastAsia="宋体" w:cs="宋体"/>
                <w:b/>
                <w:bCs/>
                <w:color w:val="FFFFFF"/>
                <w:kern w:val="0"/>
                <w:szCs w:val="21"/>
              </w:rPr>
            </w:pPr>
          </w:p>
        </w:tc>
        <w:tc>
          <w:tcPr>
            <w:tcW w:w="793" w:type="dxa"/>
            <w:vMerge w:val="continue"/>
            <w:tcBorders>
              <w:top w:val="single" w:color="4BACC6" w:sz="8" w:space="0"/>
              <w:left w:val="nil"/>
              <w:bottom w:val="single" w:color="92CDDC" w:sz="8" w:space="0"/>
              <w:right w:val="nil"/>
            </w:tcBorders>
            <w:vAlign w:val="center"/>
          </w:tcPr>
          <w:p>
            <w:pPr>
              <w:widowControl/>
              <w:jc w:val="left"/>
              <w:rPr>
                <w:rFonts w:ascii="Calibri" w:hAnsi="Calibri" w:eastAsia="等线" w:cs="宋体"/>
                <w:color w:val="000000"/>
                <w:kern w:val="0"/>
                <w:szCs w:val="21"/>
              </w:rPr>
            </w:pPr>
          </w:p>
        </w:tc>
        <w:tc>
          <w:tcPr>
            <w:tcW w:w="833" w:type="dxa"/>
            <w:tcBorders>
              <w:top w:val="nil"/>
              <w:left w:val="single" w:color="92CDDC" w:sz="8" w:space="0"/>
              <w:bottom w:val="single" w:color="92CDDC" w:sz="8" w:space="0"/>
              <w:right w:val="single" w:color="92CDDC" w:sz="8" w:space="0"/>
            </w:tcBorders>
            <w:shd w:val="clear" w:color="000000" w:fill="4BACC6"/>
            <w:vAlign w:val="center"/>
          </w:tcPr>
          <w:p>
            <w:pPr>
              <w:widowControl/>
              <w:jc w:val="center"/>
              <w:rPr>
                <w:rFonts w:ascii="宋体" w:hAnsi="宋体" w:eastAsia="宋体" w:cs="宋体"/>
                <w:color w:val="FFFFFF"/>
                <w:kern w:val="0"/>
                <w:szCs w:val="21"/>
              </w:rPr>
            </w:pPr>
            <w:r>
              <w:rPr>
                <w:rFonts w:hint="eastAsia" w:ascii="宋体" w:hAnsi="宋体" w:eastAsia="宋体" w:cs="宋体"/>
                <w:color w:val="FFFFFF"/>
                <w:kern w:val="0"/>
                <w:szCs w:val="21"/>
              </w:rPr>
              <w:t>签署三方协议</w:t>
            </w:r>
          </w:p>
        </w:tc>
        <w:tc>
          <w:tcPr>
            <w:tcW w:w="1055" w:type="dxa"/>
            <w:tcBorders>
              <w:top w:val="nil"/>
              <w:left w:val="nil"/>
              <w:bottom w:val="single" w:color="92CDDC" w:sz="8" w:space="0"/>
              <w:right w:val="single" w:color="92CDDC" w:sz="8" w:space="0"/>
            </w:tcBorders>
            <w:shd w:val="clear" w:color="000000" w:fill="4BACC6"/>
            <w:vAlign w:val="center"/>
          </w:tcPr>
          <w:p>
            <w:pPr>
              <w:widowControl/>
              <w:jc w:val="center"/>
              <w:rPr>
                <w:rFonts w:ascii="宋体" w:hAnsi="宋体" w:eastAsia="宋体" w:cs="宋体"/>
                <w:color w:val="FFFFFF"/>
                <w:kern w:val="0"/>
                <w:szCs w:val="21"/>
              </w:rPr>
            </w:pPr>
            <w:r>
              <w:rPr>
                <w:rFonts w:hint="eastAsia" w:ascii="宋体" w:hAnsi="宋体" w:eastAsia="宋体" w:cs="宋体"/>
                <w:color w:val="FFFFFF"/>
                <w:kern w:val="0"/>
                <w:szCs w:val="21"/>
              </w:rPr>
              <w:t>签订劳动合同</w:t>
            </w:r>
          </w:p>
        </w:tc>
        <w:tc>
          <w:tcPr>
            <w:tcW w:w="1055" w:type="dxa"/>
            <w:tcBorders>
              <w:top w:val="nil"/>
              <w:left w:val="nil"/>
              <w:bottom w:val="single" w:color="92CDDC" w:sz="8" w:space="0"/>
              <w:right w:val="single" w:color="92CDDC" w:sz="8" w:space="0"/>
            </w:tcBorders>
            <w:shd w:val="clear" w:color="000000" w:fill="4BACC6"/>
            <w:vAlign w:val="center"/>
          </w:tcPr>
          <w:p>
            <w:pPr>
              <w:widowControl/>
              <w:jc w:val="center"/>
              <w:rPr>
                <w:rFonts w:ascii="宋体" w:hAnsi="宋体" w:eastAsia="宋体" w:cs="宋体"/>
                <w:color w:val="FFFFFF"/>
                <w:kern w:val="0"/>
                <w:szCs w:val="21"/>
              </w:rPr>
            </w:pPr>
            <w:r>
              <w:rPr>
                <w:rFonts w:hint="eastAsia" w:ascii="宋体" w:hAnsi="宋体" w:eastAsia="宋体" w:cs="宋体"/>
                <w:color w:val="FFFFFF"/>
                <w:kern w:val="0"/>
                <w:szCs w:val="21"/>
              </w:rPr>
              <w:t>单位开具用人证明</w:t>
            </w:r>
          </w:p>
        </w:tc>
        <w:tc>
          <w:tcPr>
            <w:tcW w:w="794" w:type="dxa"/>
            <w:tcBorders>
              <w:top w:val="nil"/>
              <w:left w:val="nil"/>
              <w:bottom w:val="single" w:color="92CDDC" w:sz="8" w:space="0"/>
              <w:right w:val="single" w:color="92CDDC" w:sz="8" w:space="0"/>
            </w:tcBorders>
            <w:shd w:val="clear" w:color="000000" w:fill="4BACC6"/>
            <w:vAlign w:val="center"/>
          </w:tcPr>
          <w:p>
            <w:pPr>
              <w:widowControl/>
              <w:jc w:val="center"/>
              <w:rPr>
                <w:rFonts w:ascii="宋体" w:hAnsi="宋体" w:eastAsia="宋体" w:cs="宋体"/>
                <w:color w:val="FFFFFF"/>
                <w:kern w:val="0"/>
                <w:szCs w:val="21"/>
              </w:rPr>
            </w:pPr>
            <w:r>
              <w:rPr>
                <w:rFonts w:hint="eastAsia" w:ascii="宋体" w:hAnsi="宋体" w:eastAsia="宋体" w:cs="宋体"/>
                <w:color w:val="FFFFFF"/>
                <w:kern w:val="0"/>
                <w:szCs w:val="21"/>
              </w:rPr>
              <w:t>自由职业</w:t>
            </w:r>
          </w:p>
        </w:tc>
        <w:tc>
          <w:tcPr>
            <w:tcW w:w="709" w:type="dxa"/>
            <w:tcBorders>
              <w:top w:val="nil"/>
              <w:left w:val="nil"/>
              <w:bottom w:val="single" w:color="92CDDC" w:sz="8" w:space="0"/>
              <w:right w:val="single" w:color="92CDDC" w:sz="8" w:space="0"/>
            </w:tcBorders>
            <w:shd w:val="clear" w:color="000000" w:fill="4BACC6"/>
            <w:vAlign w:val="center"/>
          </w:tcPr>
          <w:p>
            <w:pPr>
              <w:widowControl/>
              <w:jc w:val="center"/>
              <w:rPr>
                <w:rFonts w:ascii="宋体" w:hAnsi="宋体" w:eastAsia="宋体" w:cs="宋体"/>
                <w:color w:val="FFFFFF"/>
                <w:kern w:val="0"/>
                <w:szCs w:val="21"/>
              </w:rPr>
            </w:pPr>
            <w:r>
              <w:rPr>
                <w:rFonts w:hint="eastAsia" w:ascii="宋体" w:hAnsi="宋体" w:eastAsia="宋体" w:cs="宋体"/>
                <w:color w:val="FFFFFF"/>
                <w:kern w:val="0"/>
                <w:szCs w:val="21"/>
              </w:rPr>
              <w:t>自主创业</w:t>
            </w:r>
          </w:p>
        </w:tc>
        <w:tc>
          <w:tcPr>
            <w:tcW w:w="818" w:type="dxa"/>
            <w:tcBorders>
              <w:top w:val="nil"/>
              <w:left w:val="nil"/>
              <w:bottom w:val="single" w:color="92CDDC" w:sz="8" w:space="0"/>
              <w:right w:val="single" w:color="92CDDC" w:sz="8" w:space="0"/>
            </w:tcBorders>
            <w:shd w:val="clear" w:color="000000" w:fill="4BACC6"/>
            <w:vAlign w:val="center"/>
          </w:tcPr>
          <w:p>
            <w:pPr>
              <w:widowControl/>
              <w:jc w:val="center"/>
              <w:rPr>
                <w:rFonts w:ascii="宋体" w:hAnsi="宋体" w:eastAsia="宋体" w:cs="宋体"/>
                <w:color w:val="FFFFFF"/>
                <w:kern w:val="0"/>
                <w:szCs w:val="21"/>
              </w:rPr>
            </w:pPr>
            <w:r>
              <w:rPr>
                <w:rFonts w:hint="eastAsia" w:ascii="宋体" w:hAnsi="宋体" w:eastAsia="宋体" w:cs="宋体"/>
                <w:color w:val="FFFFFF"/>
                <w:kern w:val="0"/>
                <w:szCs w:val="21"/>
              </w:rPr>
              <w:t>国内升学</w:t>
            </w:r>
          </w:p>
        </w:tc>
        <w:tc>
          <w:tcPr>
            <w:tcW w:w="955" w:type="dxa"/>
            <w:tcBorders>
              <w:top w:val="nil"/>
              <w:left w:val="nil"/>
              <w:bottom w:val="single" w:color="92CDDC" w:sz="8" w:space="0"/>
              <w:right w:val="single" w:color="92CDDC" w:sz="8" w:space="0"/>
            </w:tcBorders>
            <w:shd w:val="clear" w:color="000000" w:fill="4BACC6"/>
            <w:vAlign w:val="center"/>
          </w:tcPr>
          <w:p>
            <w:pPr>
              <w:widowControl/>
              <w:jc w:val="center"/>
              <w:rPr>
                <w:rFonts w:ascii="宋体" w:hAnsi="宋体" w:eastAsia="宋体" w:cs="宋体"/>
                <w:color w:val="FFFFFF"/>
                <w:kern w:val="0"/>
                <w:szCs w:val="21"/>
              </w:rPr>
            </w:pPr>
            <w:r>
              <w:rPr>
                <w:rFonts w:hint="eastAsia" w:ascii="宋体" w:hAnsi="宋体" w:eastAsia="宋体" w:cs="宋体"/>
                <w:color w:val="FFFFFF"/>
                <w:kern w:val="0"/>
                <w:szCs w:val="21"/>
              </w:rPr>
              <w:t>出国（境）留学</w:t>
            </w:r>
          </w:p>
        </w:tc>
        <w:tc>
          <w:tcPr>
            <w:tcW w:w="704" w:type="dxa"/>
            <w:tcBorders>
              <w:top w:val="nil"/>
              <w:left w:val="nil"/>
              <w:bottom w:val="single" w:color="92CDDC" w:sz="8" w:space="0"/>
              <w:right w:val="single" w:color="92CDDC" w:sz="8" w:space="0"/>
            </w:tcBorders>
            <w:shd w:val="clear" w:color="000000" w:fill="4BACC6"/>
            <w:vAlign w:val="center"/>
          </w:tcPr>
          <w:p>
            <w:pPr>
              <w:widowControl/>
              <w:jc w:val="center"/>
              <w:rPr>
                <w:rFonts w:ascii="宋体" w:hAnsi="宋体" w:eastAsia="宋体" w:cs="宋体"/>
                <w:color w:val="FFFFFF"/>
                <w:kern w:val="0"/>
                <w:szCs w:val="21"/>
              </w:rPr>
            </w:pPr>
            <w:r>
              <w:rPr>
                <w:rFonts w:hint="eastAsia" w:ascii="宋体" w:hAnsi="宋体" w:eastAsia="宋体" w:cs="宋体"/>
                <w:color w:val="FFFFFF"/>
                <w:kern w:val="0"/>
                <w:szCs w:val="21"/>
              </w:rPr>
              <w:t>拟升学不就业</w:t>
            </w:r>
          </w:p>
        </w:tc>
        <w:tc>
          <w:tcPr>
            <w:tcW w:w="868" w:type="dxa"/>
            <w:tcBorders>
              <w:top w:val="nil"/>
              <w:left w:val="nil"/>
              <w:bottom w:val="single" w:color="92CDDC" w:sz="8" w:space="0"/>
              <w:right w:val="single" w:color="92CDDC" w:sz="8" w:space="0"/>
            </w:tcBorders>
            <w:shd w:val="clear" w:color="000000" w:fill="4BACC6"/>
            <w:vAlign w:val="center"/>
          </w:tcPr>
          <w:p>
            <w:pPr>
              <w:widowControl/>
              <w:jc w:val="center"/>
              <w:rPr>
                <w:rFonts w:ascii="宋体" w:hAnsi="宋体" w:eastAsia="宋体" w:cs="宋体"/>
                <w:color w:val="FFFFFF"/>
                <w:kern w:val="0"/>
                <w:szCs w:val="21"/>
              </w:rPr>
            </w:pPr>
            <w:r>
              <w:rPr>
                <w:rFonts w:hint="eastAsia" w:ascii="宋体" w:hAnsi="宋体" w:eastAsia="宋体" w:cs="宋体"/>
                <w:color w:val="FFFFFF"/>
                <w:kern w:val="0"/>
                <w:szCs w:val="21"/>
              </w:rPr>
              <w:t>拟出国不就业</w:t>
            </w:r>
          </w:p>
        </w:tc>
      </w:tr>
      <w:tr>
        <w:tblPrEx>
          <w:tblLayout w:type="fixed"/>
          <w:tblCellMar>
            <w:top w:w="0" w:type="dxa"/>
            <w:left w:w="108" w:type="dxa"/>
            <w:bottom w:w="0" w:type="dxa"/>
            <w:right w:w="108" w:type="dxa"/>
          </w:tblCellMar>
        </w:tblPrEx>
        <w:trPr>
          <w:trHeight w:val="300" w:hRule="atLeast"/>
          <w:jc w:val="center"/>
        </w:trPr>
        <w:tc>
          <w:tcPr>
            <w:tcW w:w="1843" w:type="dxa"/>
            <w:vMerge w:val="restart"/>
            <w:tcBorders>
              <w:top w:val="nil"/>
              <w:left w:val="single" w:color="92CDDC" w:sz="8" w:space="0"/>
              <w:bottom w:val="single" w:color="92CDDC" w:sz="8" w:space="0"/>
              <w:right w:val="single" w:color="92CDDC" w:sz="8" w:space="0"/>
            </w:tcBorders>
            <w:shd w:val="clear" w:color="auto" w:fill="auto"/>
            <w:vAlign w:val="center"/>
          </w:tcPr>
          <w:p>
            <w:pPr>
              <w:widowControl/>
              <w:tabs>
                <w:tab w:val="center" w:pos="813"/>
              </w:tabs>
              <w:rPr>
                <w:rFonts w:ascii="宋体" w:hAnsi="宋体" w:eastAsia="宋体" w:cs="宋体"/>
                <w:b/>
                <w:bCs/>
                <w:color w:val="000000"/>
                <w:kern w:val="0"/>
                <w:szCs w:val="21"/>
              </w:rPr>
            </w:pPr>
            <w:r>
              <w:rPr>
                <w:rFonts w:hint="eastAsia" w:ascii="宋体" w:hAnsi="宋体" w:eastAsia="宋体" w:cs="宋体"/>
                <w:b/>
                <w:bCs/>
                <w:color w:val="000000"/>
                <w:kern w:val="0"/>
                <w:szCs w:val="21"/>
              </w:rPr>
              <w:t>表演</w:t>
            </w:r>
            <w:r>
              <w:rPr>
                <w:rFonts w:hint="eastAsia" w:ascii="宋体" w:hAnsi="宋体" w:eastAsia="宋体" w:cs="宋体"/>
                <w:b/>
                <w:bCs/>
                <w:color w:val="000000"/>
                <w:kern w:val="0"/>
                <w:szCs w:val="21"/>
                <w:lang w:eastAsia="zh-CN"/>
              </w:rPr>
              <w:t>（</w:t>
            </w:r>
            <w:r>
              <w:rPr>
                <w:rFonts w:hint="eastAsia" w:ascii="宋体" w:hAnsi="宋体" w:eastAsia="宋体" w:cs="宋体"/>
                <w:b/>
                <w:bCs/>
                <w:color w:val="000000"/>
                <w:kern w:val="0"/>
                <w:szCs w:val="21"/>
                <w:lang w:val="en-US" w:eastAsia="zh-CN"/>
              </w:rPr>
              <w:t>京剧</w:t>
            </w:r>
            <w:r>
              <w:rPr>
                <w:rFonts w:hint="eastAsia" w:ascii="宋体" w:hAnsi="宋体" w:eastAsia="宋体" w:cs="宋体"/>
                <w:b/>
                <w:bCs/>
                <w:color w:val="000000"/>
                <w:kern w:val="0"/>
                <w:szCs w:val="21"/>
                <w:lang w:eastAsia="zh-CN"/>
              </w:rPr>
              <w:t>）</w:t>
            </w:r>
          </w:p>
        </w:tc>
        <w:tc>
          <w:tcPr>
            <w:tcW w:w="793" w:type="dxa"/>
            <w:tcBorders>
              <w:top w:val="nil"/>
              <w:left w:val="nil"/>
              <w:bottom w:val="single" w:color="92CDDC" w:sz="8" w:space="0"/>
              <w:right w:val="single" w:color="92CDDC" w:sz="8"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人数</w:t>
            </w:r>
          </w:p>
        </w:tc>
        <w:tc>
          <w:tcPr>
            <w:tcW w:w="833"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w:t>
            </w:r>
          </w:p>
        </w:tc>
        <w:tc>
          <w:tcPr>
            <w:tcW w:w="10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0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w:t>
            </w:r>
          </w:p>
        </w:tc>
        <w:tc>
          <w:tcPr>
            <w:tcW w:w="794"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6</w:t>
            </w:r>
          </w:p>
        </w:tc>
        <w:tc>
          <w:tcPr>
            <w:tcW w:w="709"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818"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w:t>
            </w:r>
          </w:p>
        </w:tc>
        <w:tc>
          <w:tcPr>
            <w:tcW w:w="9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04"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868"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w:t>
            </w:r>
          </w:p>
        </w:tc>
      </w:tr>
      <w:tr>
        <w:tblPrEx>
          <w:tblLayout w:type="fixed"/>
          <w:tblCellMar>
            <w:top w:w="0" w:type="dxa"/>
            <w:left w:w="108" w:type="dxa"/>
            <w:bottom w:w="0" w:type="dxa"/>
            <w:right w:w="108" w:type="dxa"/>
          </w:tblCellMar>
        </w:tblPrEx>
        <w:trPr>
          <w:trHeight w:val="300" w:hRule="atLeast"/>
          <w:jc w:val="center"/>
        </w:trPr>
        <w:tc>
          <w:tcPr>
            <w:tcW w:w="1843" w:type="dxa"/>
            <w:vMerge w:val="continue"/>
            <w:tcBorders>
              <w:top w:val="nil"/>
              <w:left w:val="single" w:color="92CDDC" w:sz="8" w:space="0"/>
              <w:bottom w:val="single" w:color="92CDDC" w:sz="8" w:space="0"/>
              <w:right w:val="single" w:color="92CDDC" w:sz="8" w:space="0"/>
            </w:tcBorders>
            <w:vAlign w:val="center"/>
          </w:tcPr>
          <w:p>
            <w:pPr>
              <w:widowControl/>
              <w:jc w:val="left"/>
              <w:rPr>
                <w:rFonts w:ascii="宋体" w:hAnsi="宋体" w:eastAsia="宋体" w:cs="宋体"/>
                <w:b/>
                <w:bCs/>
                <w:color w:val="000000"/>
                <w:kern w:val="0"/>
                <w:szCs w:val="21"/>
              </w:rPr>
            </w:pPr>
          </w:p>
        </w:tc>
        <w:tc>
          <w:tcPr>
            <w:tcW w:w="793" w:type="dxa"/>
            <w:tcBorders>
              <w:top w:val="nil"/>
              <w:left w:val="nil"/>
              <w:bottom w:val="single" w:color="92CDDC" w:sz="8" w:space="0"/>
              <w:right w:val="single" w:color="92CDDC" w:sz="8" w:space="0"/>
            </w:tcBorders>
            <w:shd w:val="clear" w:color="000000" w:fill="DAEEF3"/>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833"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9.09</w:t>
            </w:r>
          </w:p>
        </w:tc>
        <w:tc>
          <w:tcPr>
            <w:tcW w:w="10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4.55</w:t>
            </w:r>
          </w:p>
        </w:tc>
        <w:tc>
          <w:tcPr>
            <w:tcW w:w="10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18.</w:t>
            </w:r>
            <w:bookmarkStart w:id="445" w:name="_GoBack"/>
            <w:bookmarkEnd w:id="445"/>
            <w:r>
              <w:rPr>
                <w:rFonts w:ascii="Times New Roman" w:hAnsi="Times New Roman" w:eastAsia="等线" w:cs="Times New Roman"/>
                <w:color w:val="000000"/>
                <w:kern w:val="0"/>
                <w:szCs w:val="21"/>
              </w:rPr>
              <w:t>18</w:t>
            </w:r>
          </w:p>
        </w:tc>
        <w:tc>
          <w:tcPr>
            <w:tcW w:w="794"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27.27</w:t>
            </w:r>
          </w:p>
        </w:tc>
        <w:tc>
          <w:tcPr>
            <w:tcW w:w="709"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4.55</w:t>
            </w:r>
          </w:p>
        </w:tc>
        <w:tc>
          <w:tcPr>
            <w:tcW w:w="818"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22.73</w:t>
            </w:r>
          </w:p>
        </w:tc>
        <w:tc>
          <w:tcPr>
            <w:tcW w:w="9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04"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4.55</w:t>
            </w:r>
          </w:p>
        </w:tc>
        <w:tc>
          <w:tcPr>
            <w:tcW w:w="868"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9.09</w:t>
            </w:r>
          </w:p>
        </w:tc>
      </w:tr>
      <w:tr>
        <w:tblPrEx>
          <w:tblLayout w:type="fixed"/>
          <w:tblCellMar>
            <w:top w:w="0" w:type="dxa"/>
            <w:left w:w="108" w:type="dxa"/>
            <w:bottom w:w="0" w:type="dxa"/>
            <w:right w:w="108" w:type="dxa"/>
          </w:tblCellMar>
        </w:tblPrEx>
        <w:trPr>
          <w:trHeight w:val="300" w:hRule="atLeast"/>
          <w:jc w:val="center"/>
        </w:trPr>
        <w:tc>
          <w:tcPr>
            <w:tcW w:w="1843" w:type="dxa"/>
            <w:vMerge w:val="restart"/>
            <w:tcBorders>
              <w:top w:val="nil"/>
              <w:left w:val="single" w:color="92CDDC" w:sz="8" w:space="0"/>
              <w:bottom w:val="single" w:color="92CDDC" w:sz="8" w:space="0"/>
              <w:right w:val="single" w:color="92CDDC" w:sz="8" w:space="0"/>
            </w:tcBorders>
            <w:shd w:val="clear" w:color="auto" w:fill="auto"/>
            <w:vAlign w:val="center"/>
          </w:tcPr>
          <w:p>
            <w:pPr>
              <w:widowControl/>
              <w:rPr>
                <w:rFonts w:ascii="宋体" w:hAnsi="宋体" w:eastAsia="宋体" w:cs="宋体"/>
                <w:b/>
                <w:bCs/>
                <w:color w:val="000000"/>
                <w:kern w:val="0"/>
                <w:szCs w:val="21"/>
              </w:rPr>
            </w:pPr>
            <w:r>
              <w:rPr>
                <w:rFonts w:hint="eastAsia" w:ascii="宋体" w:hAnsi="宋体" w:eastAsia="宋体" w:cs="宋体"/>
                <w:b/>
                <w:bCs/>
                <w:color w:val="000000"/>
                <w:kern w:val="0"/>
                <w:szCs w:val="21"/>
              </w:rPr>
              <w:t>表演（戏剧影视表演）</w:t>
            </w:r>
          </w:p>
        </w:tc>
        <w:tc>
          <w:tcPr>
            <w:tcW w:w="793" w:type="dxa"/>
            <w:tcBorders>
              <w:top w:val="nil"/>
              <w:left w:val="nil"/>
              <w:bottom w:val="single" w:color="92CDDC" w:sz="8" w:space="0"/>
              <w:right w:val="single" w:color="92CDDC" w:sz="8"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人数</w:t>
            </w:r>
          </w:p>
        </w:tc>
        <w:tc>
          <w:tcPr>
            <w:tcW w:w="833"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0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10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w:t>
            </w:r>
          </w:p>
        </w:tc>
        <w:tc>
          <w:tcPr>
            <w:tcW w:w="794"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w:t>
            </w:r>
          </w:p>
        </w:tc>
        <w:tc>
          <w:tcPr>
            <w:tcW w:w="709"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818"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w:t>
            </w:r>
          </w:p>
        </w:tc>
        <w:tc>
          <w:tcPr>
            <w:tcW w:w="9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04"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868"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r>
      <w:tr>
        <w:tblPrEx>
          <w:tblLayout w:type="fixed"/>
          <w:tblCellMar>
            <w:top w:w="0" w:type="dxa"/>
            <w:left w:w="108" w:type="dxa"/>
            <w:bottom w:w="0" w:type="dxa"/>
            <w:right w:w="108" w:type="dxa"/>
          </w:tblCellMar>
        </w:tblPrEx>
        <w:trPr>
          <w:trHeight w:val="300" w:hRule="atLeast"/>
          <w:jc w:val="center"/>
        </w:trPr>
        <w:tc>
          <w:tcPr>
            <w:tcW w:w="1843" w:type="dxa"/>
            <w:vMerge w:val="continue"/>
            <w:tcBorders>
              <w:top w:val="nil"/>
              <w:left w:val="single" w:color="92CDDC" w:sz="8" w:space="0"/>
              <w:bottom w:val="single" w:color="92CDDC" w:sz="8" w:space="0"/>
              <w:right w:val="single" w:color="92CDDC" w:sz="8" w:space="0"/>
            </w:tcBorders>
            <w:vAlign w:val="center"/>
          </w:tcPr>
          <w:p>
            <w:pPr>
              <w:widowControl/>
              <w:jc w:val="left"/>
              <w:rPr>
                <w:rFonts w:ascii="宋体" w:hAnsi="宋体" w:eastAsia="宋体" w:cs="宋体"/>
                <w:b/>
                <w:bCs/>
                <w:color w:val="000000"/>
                <w:kern w:val="0"/>
                <w:szCs w:val="21"/>
              </w:rPr>
            </w:pPr>
          </w:p>
        </w:tc>
        <w:tc>
          <w:tcPr>
            <w:tcW w:w="793" w:type="dxa"/>
            <w:tcBorders>
              <w:top w:val="nil"/>
              <w:left w:val="nil"/>
              <w:bottom w:val="single" w:color="92CDDC" w:sz="8" w:space="0"/>
              <w:right w:val="single" w:color="92CDDC" w:sz="8" w:space="0"/>
            </w:tcBorders>
            <w:shd w:val="clear" w:color="000000" w:fill="DAEEF3"/>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833"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2.04</w:t>
            </w:r>
          </w:p>
        </w:tc>
        <w:tc>
          <w:tcPr>
            <w:tcW w:w="10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1055" w:type="dxa"/>
            <w:tcBorders>
              <w:top w:val="nil"/>
              <w:left w:val="nil"/>
              <w:bottom w:val="single" w:color="92CDDC" w:sz="8" w:space="0"/>
              <w:right w:val="single" w:color="92CDDC" w:sz="8" w:space="0"/>
            </w:tcBorders>
            <w:shd w:val="clear" w:color="000000" w:fill="DAEEF3"/>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6.12</w:t>
            </w:r>
          </w:p>
        </w:tc>
        <w:tc>
          <w:tcPr>
            <w:tcW w:w="794" w:type="dxa"/>
            <w:tcBorders>
              <w:top w:val="nil"/>
              <w:left w:val="nil"/>
              <w:bottom w:val="single" w:color="92CDDC" w:sz="8" w:space="0"/>
              <w:right w:val="single" w:color="92CDDC" w:sz="8" w:space="0"/>
            </w:tcBorders>
            <w:shd w:val="clear" w:color="000000" w:fill="DAEEF3"/>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83.67</w:t>
            </w:r>
          </w:p>
        </w:tc>
        <w:tc>
          <w:tcPr>
            <w:tcW w:w="709"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2.04</w:t>
            </w:r>
          </w:p>
        </w:tc>
        <w:tc>
          <w:tcPr>
            <w:tcW w:w="818"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4.08</w:t>
            </w:r>
          </w:p>
        </w:tc>
        <w:tc>
          <w:tcPr>
            <w:tcW w:w="9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04"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2.04</w:t>
            </w:r>
          </w:p>
        </w:tc>
        <w:tc>
          <w:tcPr>
            <w:tcW w:w="868"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r>
      <w:tr>
        <w:tblPrEx>
          <w:tblLayout w:type="fixed"/>
          <w:tblCellMar>
            <w:top w:w="0" w:type="dxa"/>
            <w:left w:w="108" w:type="dxa"/>
            <w:bottom w:w="0" w:type="dxa"/>
            <w:right w:w="108" w:type="dxa"/>
          </w:tblCellMar>
        </w:tblPrEx>
        <w:trPr>
          <w:trHeight w:val="300" w:hRule="atLeast"/>
          <w:jc w:val="center"/>
        </w:trPr>
        <w:tc>
          <w:tcPr>
            <w:tcW w:w="1843" w:type="dxa"/>
            <w:vMerge w:val="restart"/>
            <w:tcBorders>
              <w:top w:val="nil"/>
              <w:left w:val="single" w:color="92CDDC" w:sz="8" w:space="0"/>
              <w:bottom w:val="single" w:color="92CDDC" w:sz="8" w:space="0"/>
              <w:right w:val="single" w:color="92CDDC" w:sz="8" w:space="0"/>
            </w:tcBorders>
            <w:shd w:val="clear" w:color="auto" w:fill="auto"/>
            <w:vAlign w:val="center"/>
          </w:tcPr>
          <w:p>
            <w:pPr>
              <w:widowControl/>
              <w:rPr>
                <w:rFonts w:ascii="宋体" w:hAnsi="宋体" w:eastAsia="宋体" w:cs="宋体"/>
                <w:b/>
                <w:bCs/>
                <w:color w:val="000000"/>
                <w:kern w:val="0"/>
                <w:szCs w:val="21"/>
              </w:rPr>
            </w:pPr>
            <w:r>
              <w:rPr>
                <w:rFonts w:hint="eastAsia" w:ascii="宋体" w:hAnsi="宋体" w:eastAsia="宋体" w:cs="宋体"/>
                <w:b/>
                <w:bCs/>
                <w:color w:val="000000"/>
                <w:kern w:val="0"/>
                <w:szCs w:val="21"/>
              </w:rPr>
              <w:t>表演（音乐剧）</w:t>
            </w:r>
          </w:p>
        </w:tc>
        <w:tc>
          <w:tcPr>
            <w:tcW w:w="793" w:type="dxa"/>
            <w:tcBorders>
              <w:top w:val="nil"/>
              <w:left w:val="nil"/>
              <w:bottom w:val="single" w:color="92CDDC" w:sz="8" w:space="0"/>
              <w:right w:val="single" w:color="92CDDC" w:sz="8"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人数</w:t>
            </w:r>
          </w:p>
        </w:tc>
        <w:tc>
          <w:tcPr>
            <w:tcW w:w="833"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8</w:t>
            </w:r>
          </w:p>
        </w:tc>
        <w:tc>
          <w:tcPr>
            <w:tcW w:w="10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0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94"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16</w:t>
            </w:r>
          </w:p>
        </w:tc>
        <w:tc>
          <w:tcPr>
            <w:tcW w:w="709"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18"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w:t>
            </w:r>
          </w:p>
        </w:tc>
        <w:tc>
          <w:tcPr>
            <w:tcW w:w="9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04"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w:t>
            </w:r>
          </w:p>
        </w:tc>
        <w:tc>
          <w:tcPr>
            <w:tcW w:w="868"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r>
      <w:tr>
        <w:tblPrEx>
          <w:tblLayout w:type="fixed"/>
          <w:tblCellMar>
            <w:top w:w="0" w:type="dxa"/>
            <w:left w:w="108" w:type="dxa"/>
            <w:bottom w:w="0" w:type="dxa"/>
            <w:right w:w="108" w:type="dxa"/>
          </w:tblCellMar>
        </w:tblPrEx>
        <w:trPr>
          <w:trHeight w:val="300" w:hRule="atLeast"/>
          <w:jc w:val="center"/>
        </w:trPr>
        <w:tc>
          <w:tcPr>
            <w:tcW w:w="1843" w:type="dxa"/>
            <w:vMerge w:val="continue"/>
            <w:tcBorders>
              <w:top w:val="nil"/>
              <w:left w:val="single" w:color="92CDDC" w:sz="8" w:space="0"/>
              <w:bottom w:val="single" w:color="92CDDC" w:sz="8" w:space="0"/>
              <w:right w:val="single" w:color="92CDDC" w:sz="8" w:space="0"/>
            </w:tcBorders>
            <w:vAlign w:val="center"/>
          </w:tcPr>
          <w:p>
            <w:pPr>
              <w:widowControl/>
              <w:jc w:val="left"/>
              <w:rPr>
                <w:rFonts w:ascii="宋体" w:hAnsi="宋体" w:eastAsia="宋体" w:cs="宋体"/>
                <w:b/>
                <w:bCs/>
                <w:color w:val="000000"/>
                <w:kern w:val="0"/>
                <w:szCs w:val="21"/>
              </w:rPr>
            </w:pPr>
          </w:p>
        </w:tc>
        <w:tc>
          <w:tcPr>
            <w:tcW w:w="793" w:type="dxa"/>
            <w:tcBorders>
              <w:top w:val="nil"/>
              <w:left w:val="nil"/>
              <w:bottom w:val="single" w:color="92CDDC" w:sz="8" w:space="0"/>
              <w:right w:val="single" w:color="92CDDC" w:sz="8" w:space="0"/>
            </w:tcBorders>
            <w:shd w:val="clear" w:color="000000" w:fill="DAEEF3"/>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833"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27.59</w:t>
            </w:r>
          </w:p>
        </w:tc>
        <w:tc>
          <w:tcPr>
            <w:tcW w:w="10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3.45</w:t>
            </w:r>
          </w:p>
        </w:tc>
        <w:tc>
          <w:tcPr>
            <w:tcW w:w="10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94"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55.17</w:t>
            </w:r>
          </w:p>
        </w:tc>
        <w:tc>
          <w:tcPr>
            <w:tcW w:w="709"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18"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6.9</w:t>
            </w:r>
          </w:p>
        </w:tc>
        <w:tc>
          <w:tcPr>
            <w:tcW w:w="9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04"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6.9</w:t>
            </w:r>
          </w:p>
        </w:tc>
        <w:tc>
          <w:tcPr>
            <w:tcW w:w="868"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r>
      <w:tr>
        <w:tblPrEx>
          <w:tblLayout w:type="fixed"/>
          <w:tblCellMar>
            <w:top w:w="0" w:type="dxa"/>
            <w:left w:w="108" w:type="dxa"/>
            <w:bottom w:w="0" w:type="dxa"/>
            <w:right w:w="108" w:type="dxa"/>
          </w:tblCellMar>
        </w:tblPrEx>
        <w:trPr>
          <w:trHeight w:val="300" w:hRule="atLeast"/>
          <w:jc w:val="center"/>
        </w:trPr>
        <w:tc>
          <w:tcPr>
            <w:tcW w:w="1843" w:type="dxa"/>
            <w:vMerge w:val="restart"/>
            <w:tcBorders>
              <w:top w:val="nil"/>
              <w:left w:val="single" w:color="92CDDC" w:sz="8" w:space="0"/>
              <w:bottom w:val="single" w:color="92CDDC" w:sz="8" w:space="0"/>
              <w:right w:val="single" w:color="92CDDC" w:sz="8" w:space="0"/>
            </w:tcBorders>
            <w:shd w:val="clear" w:color="auto" w:fill="auto"/>
            <w:vAlign w:val="center"/>
          </w:tcPr>
          <w:p>
            <w:pPr>
              <w:widowControl/>
              <w:rPr>
                <w:rFonts w:ascii="宋体" w:hAnsi="宋体" w:eastAsia="宋体" w:cs="宋体"/>
                <w:b/>
                <w:bCs/>
                <w:color w:val="000000"/>
                <w:kern w:val="0"/>
                <w:szCs w:val="21"/>
              </w:rPr>
            </w:pPr>
            <w:r>
              <w:rPr>
                <w:rFonts w:hint="eastAsia" w:ascii="宋体" w:hAnsi="宋体" w:eastAsia="宋体" w:cs="宋体"/>
                <w:b/>
                <w:bCs/>
                <w:color w:val="000000"/>
                <w:kern w:val="0"/>
                <w:szCs w:val="21"/>
              </w:rPr>
              <w:t>导演（演出制作）</w:t>
            </w:r>
          </w:p>
        </w:tc>
        <w:tc>
          <w:tcPr>
            <w:tcW w:w="793" w:type="dxa"/>
            <w:tcBorders>
              <w:top w:val="nil"/>
              <w:left w:val="nil"/>
              <w:bottom w:val="single" w:color="92CDDC" w:sz="8" w:space="0"/>
              <w:right w:val="single" w:color="92CDDC" w:sz="8"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人数</w:t>
            </w:r>
          </w:p>
        </w:tc>
        <w:tc>
          <w:tcPr>
            <w:tcW w:w="833" w:type="dxa"/>
            <w:tcBorders>
              <w:top w:val="nil"/>
              <w:left w:val="nil"/>
              <w:bottom w:val="single" w:color="92CDDC" w:sz="8" w:space="0"/>
              <w:right w:val="single" w:color="92CDDC" w:sz="8" w:space="0"/>
            </w:tcBorders>
            <w:shd w:val="clear" w:color="auto" w:fill="auto"/>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5</w:t>
            </w:r>
          </w:p>
        </w:tc>
        <w:tc>
          <w:tcPr>
            <w:tcW w:w="1055" w:type="dxa"/>
            <w:tcBorders>
              <w:top w:val="nil"/>
              <w:left w:val="nil"/>
              <w:bottom w:val="single" w:color="92CDDC" w:sz="8" w:space="0"/>
              <w:right w:val="single" w:color="92CDDC" w:sz="8" w:space="0"/>
            </w:tcBorders>
            <w:shd w:val="clear" w:color="auto" w:fill="auto"/>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12</w:t>
            </w:r>
          </w:p>
        </w:tc>
        <w:tc>
          <w:tcPr>
            <w:tcW w:w="1055" w:type="dxa"/>
            <w:tcBorders>
              <w:top w:val="nil"/>
              <w:left w:val="nil"/>
              <w:bottom w:val="single" w:color="92CDDC" w:sz="8" w:space="0"/>
              <w:right w:val="single" w:color="92CDDC" w:sz="8" w:space="0"/>
            </w:tcBorders>
            <w:shd w:val="clear" w:color="auto" w:fill="auto"/>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1</w:t>
            </w:r>
          </w:p>
        </w:tc>
        <w:tc>
          <w:tcPr>
            <w:tcW w:w="794" w:type="dxa"/>
            <w:tcBorders>
              <w:top w:val="nil"/>
              <w:left w:val="nil"/>
              <w:bottom w:val="single" w:color="92CDDC" w:sz="8" w:space="0"/>
              <w:right w:val="single" w:color="92CDDC" w:sz="8" w:space="0"/>
            </w:tcBorders>
            <w:shd w:val="clear" w:color="auto" w:fill="auto"/>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11</w:t>
            </w:r>
          </w:p>
        </w:tc>
        <w:tc>
          <w:tcPr>
            <w:tcW w:w="709" w:type="dxa"/>
            <w:tcBorders>
              <w:top w:val="nil"/>
              <w:left w:val="nil"/>
              <w:bottom w:val="single" w:color="92CDDC" w:sz="8" w:space="0"/>
              <w:right w:val="single" w:color="92CDDC" w:sz="8" w:space="0"/>
            </w:tcBorders>
            <w:shd w:val="clear" w:color="auto" w:fill="auto"/>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2</w:t>
            </w:r>
          </w:p>
        </w:tc>
        <w:tc>
          <w:tcPr>
            <w:tcW w:w="818" w:type="dxa"/>
            <w:tcBorders>
              <w:top w:val="nil"/>
              <w:left w:val="nil"/>
              <w:bottom w:val="single" w:color="92CDDC" w:sz="8" w:space="0"/>
              <w:right w:val="single" w:color="92CDDC" w:sz="8" w:space="0"/>
            </w:tcBorders>
            <w:shd w:val="clear" w:color="auto" w:fill="auto"/>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5</w:t>
            </w:r>
          </w:p>
        </w:tc>
        <w:tc>
          <w:tcPr>
            <w:tcW w:w="955" w:type="dxa"/>
            <w:tcBorders>
              <w:top w:val="nil"/>
              <w:left w:val="nil"/>
              <w:bottom w:val="single" w:color="92CDDC" w:sz="8" w:space="0"/>
              <w:right w:val="single" w:color="92CDDC" w:sz="8" w:space="0"/>
            </w:tcBorders>
            <w:shd w:val="clear" w:color="auto" w:fill="auto"/>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2</w:t>
            </w:r>
          </w:p>
        </w:tc>
        <w:tc>
          <w:tcPr>
            <w:tcW w:w="704"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68"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r>
      <w:tr>
        <w:tblPrEx>
          <w:tblLayout w:type="fixed"/>
          <w:tblCellMar>
            <w:top w:w="0" w:type="dxa"/>
            <w:left w:w="108" w:type="dxa"/>
            <w:bottom w:w="0" w:type="dxa"/>
            <w:right w:w="108" w:type="dxa"/>
          </w:tblCellMar>
        </w:tblPrEx>
        <w:trPr>
          <w:trHeight w:val="300" w:hRule="atLeast"/>
          <w:jc w:val="center"/>
        </w:trPr>
        <w:tc>
          <w:tcPr>
            <w:tcW w:w="1843" w:type="dxa"/>
            <w:vMerge w:val="continue"/>
            <w:tcBorders>
              <w:top w:val="nil"/>
              <w:left w:val="single" w:color="92CDDC" w:sz="8" w:space="0"/>
              <w:bottom w:val="single" w:color="92CDDC" w:sz="8" w:space="0"/>
              <w:right w:val="single" w:color="92CDDC" w:sz="8" w:space="0"/>
            </w:tcBorders>
            <w:vAlign w:val="center"/>
          </w:tcPr>
          <w:p>
            <w:pPr>
              <w:widowControl/>
              <w:jc w:val="left"/>
              <w:rPr>
                <w:rFonts w:ascii="宋体" w:hAnsi="宋体" w:eastAsia="宋体" w:cs="宋体"/>
                <w:b/>
                <w:bCs/>
                <w:color w:val="000000"/>
                <w:kern w:val="0"/>
                <w:szCs w:val="21"/>
              </w:rPr>
            </w:pPr>
          </w:p>
        </w:tc>
        <w:tc>
          <w:tcPr>
            <w:tcW w:w="793" w:type="dxa"/>
            <w:tcBorders>
              <w:top w:val="nil"/>
              <w:left w:val="nil"/>
              <w:bottom w:val="single" w:color="92CDDC" w:sz="8" w:space="0"/>
              <w:right w:val="single" w:color="92CDDC" w:sz="8" w:space="0"/>
            </w:tcBorders>
            <w:shd w:val="clear" w:color="000000" w:fill="DAEEF3"/>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833" w:type="dxa"/>
            <w:tcBorders>
              <w:top w:val="nil"/>
              <w:left w:val="nil"/>
              <w:bottom w:val="single" w:color="92CDDC" w:sz="8" w:space="0"/>
              <w:right w:val="single" w:color="92CDDC" w:sz="8" w:space="0"/>
            </w:tcBorders>
            <w:shd w:val="clear" w:color="000000" w:fill="DAEEF3"/>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12.82</w:t>
            </w:r>
          </w:p>
        </w:tc>
        <w:tc>
          <w:tcPr>
            <w:tcW w:w="1055" w:type="dxa"/>
            <w:tcBorders>
              <w:top w:val="nil"/>
              <w:left w:val="nil"/>
              <w:bottom w:val="single" w:color="92CDDC" w:sz="8" w:space="0"/>
              <w:right w:val="single" w:color="92CDDC" w:sz="8" w:space="0"/>
            </w:tcBorders>
            <w:shd w:val="clear" w:color="000000" w:fill="DAEEF3"/>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30.77</w:t>
            </w:r>
          </w:p>
        </w:tc>
        <w:tc>
          <w:tcPr>
            <w:tcW w:w="1055" w:type="dxa"/>
            <w:tcBorders>
              <w:top w:val="nil"/>
              <w:left w:val="nil"/>
              <w:bottom w:val="single" w:color="92CDDC" w:sz="8" w:space="0"/>
              <w:right w:val="single" w:color="92CDDC" w:sz="8" w:space="0"/>
            </w:tcBorders>
            <w:shd w:val="clear" w:color="000000" w:fill="DAEEF3"/>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2.56</w:t>
            </w:r>
          </w:p>
        </w:tc>
        <w:tc>
          <w:tcPr>
            <w:tcW w:w="794" w:type="dxa"/>
            <w:tcBorders>
              <w:top w:val="nil"/>
              <w:left w:val="nil"/>
              <w:bottom w:val="single" w:color="92CDDC" w:sz="8" w:space="0"/>
              <w:right w:val="single" w:color="92CDDC" w:sz="8" w:space="0"/>
            </w:tcBorders>
            <w:shd w:val="clear" w:color="000000" w:fill="DAEEF3"/>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28.21</w:t>
            </w:r>
          </w:p>
        </w:tc>
        <w:tc>
          <w:tcPr>
            <w:tcW w:w="709" w:type="dxa"/>
            <w:tcBorders>
              <w:top w:val="nil"/>
              <w:left w:val="nil"/>
              <w:bottom w:val="single" w:color="92CDDC" w:sz="8" w:space="0"/>
              <w:right w:val="single" w:color="92CDDC" w:sz="8" w:space="0"/>
            </w:tcBorders>
            <w:shd w:val="clear" w:color="000000" w:fill="DAEEF3"/>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5.13</w:t>
            </w:r>
          </w:p>
        </w:tc>
        <w:tc>
          <w:tcPr>
            <w:tcW w:w="818" w:type="dxa"/>
            <w:tcBorders>
              <w:top w:val="nil"/>
              <w:left w:val="nil"/>
              <w:bottom w:val="single" w:color="92CDDC" w:sz="8" w:space="0"/>
              <w:right w:val="single" w:color="92CDDC" w:sz="8" w:space="0"/>
            </w:tcBorders>
            <w:shd w:val="clear" w:color="000000" w:fill="DAEEF3"/>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12.82</w:t>
            </w:r>
          </w:p>
        </w:tc>
        <w:tc>
          <w:tcPr>
            <w:tcW w:w="955" w:type="dxa"/>
            <w:tcBorders>
              <w:top w:val="nil"/>
              <w:left w:val="nil"/>
              <w:bottom w:val="single" w:color="92CDDC" w:sz="8" w:space="0"/>
              <w:right w:val="single" w:color="92CDDC" w:sz="8" w:space="0"/>
            </w:tcBorders>
            <w:shd w:val="clear" w:color="000000" w:fill="DAEEF3"/>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5.13</w:t>
            </w:r>
          </w:p>
        </w:tc>
        <w:tc>
          <w:tcPr>
            <w:tcW w:w="704"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68"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r>
      <w:tr>
        <w:tblPrEx>
          <w:tblLayout w:type="fixed"/>
          <w:tblCellMar>
            <w:top w:w="0" w:type="dxa"/>
            <w:left w:w="108" w:type="dxa"/>
            <w:bottom w:w="0" w:type="dxa"/>
            <w:right w:w="108" w:type="dxa"/>
          </w:tblCellMar>
        </w:tblPrEx>
        <w:trPr>
          <w:trHeight w:val="300" w:hRule="atLeast"/>
          <w:jc w:val="center"/>
        </w:trPr>
        <w:tc>
          <w:tcPr>
            <w:tcW w:w="1843" w:type="dxa"/>
            <w:vMerge w:val="restart"/>
            <w:tcBorders>
              <w:top w:val="nil"/>
              <w:left w:val="single" w:color="92CDDC" w:sz="8" w:space="0"/>
              <w:bottom w:val="single" w:color="92CDDC" w:sz="8" w:space="0"/>
              <w:right w:val="single" w:color="92CDDC" w:sz="8" w:space="0"/>
            </w:tcBorders>
            <w:shd w:val="clear" w:color="auto" w:fill="auto"/>
            <w:vAlign w:val="center"/>
          </w:tcPr>
          <w:p>
            <w:pPr>
              <w:widowControl/>
              <w:rPr>
                <w:rFonts w:ascii="宋体" w:hAnsi="宋体" w:eastAsia="宋体" w:cs="宋体"/>
                <w:b/>
                <w:bCs/>
                <w:color w:val="000000"/>
                <w:kern w:val="0"/>
                <w:szCs w:val="21"/>
              </w:rPr>
            </w:pPr>
            <w:r>
              <w:rPr>
                <w:rFonts w:hint="eastAsia" w:ascii="宋体" w:hAnsi="宋体" w:eastAsia="宋体" w:cs="宋体"/>
                <w:b/>
                <w:bCs/>
                <w:color w:val="000000"/>
                <w:kern w:val="0"/>
                <w:szCs w:val="21"/>
              </w:rPr>
              <w:t>导演（影视编导）</w:t>
            </w:r>
          </w:p>
        </w:tc>
        <w:tc>
          <w:tcPr>
            <w:tcW w:w="793" w:type="dxa"/>
            <w:tcBorders>
              <w:top w:val="nil"/>
              <w:left w:val="nil"/>
              <w:bottom w:val="single" w:color="92CDDC" w:sz="8" w:space="0"/>
              <w:right w:val="single" w:color="92CDDC" w:sz="8"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人数</w:t>
            </w:r>
          </w:p>
        </w:tc>
        <w:tc>
          <w:tcPr>
            <w:tcW w:w="833" w:type="dxa"/>
            <w:tcBorders>
              <w:top w:val="nil"/>
              <w:left w:val="nil"/>
              <w:bottom w:val="single" w:color="92CDDC" w:sz="8" w:space="0"/>
              <w:right w:val="single" w:color="92CDDC" w:sz="8" w:space="0"/>
            </w:tcBorders>
            <w:shd w:val="clear" w:color="auto" w:fill="auto"/>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3</w:t>
            </w:r>
          </w:p>
        </w:tc>
        <w:tc>
          <w:tcPr>
            <w:tcW w:w="1055" w:type="dxa"/>
            <w:tcBorders>
              <w:top w:val="nil"/>
              <w:left w:val="nil"/>
              <w:bottom w:val="single" w:color="92CDDC" w:sz="8" w:space="0"/>
              <w:right w:val="single" w:color="92CDDC" w:sz="8" w:space="0"/>
            </w:tcBorders>
            <w:shd w:val="clear" w:color="auto" w:fill="auto"/>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1</w:t>
            </w:r>
          </w:p>
        </w:tc>
        <w:tc>
          <w:tcPr>
            <w:tcW w:w="10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94" w:type="dxa"/>
            <w:tcBorders>
              <w:top w:val="nil"/>
              <w:left w:val="nil"/>
              <w:bottom w:val="single" w:color="92CDDC" w:sz="8" w:space="0"/>
              <w:right w:val="single" w:color="92CDDC" w:sz="8" w:space="0"/>
            </w:tcBorders>
            <w:shd w:val="clear" w:color="auto" w:fill="auto"/>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16</w:t>
            </w:r>
          </w:p>
        </w:tc>
        <w:tc>
          <w:tcPr>
            <w:tcW w:w="709" w:type="dxa"/>
            <w:tcBorders>
              <w:top w:val="nil"/>
              <w:left w:val="nil"/>
              <w:bottom w:val="single" w:color="92CDDC" w:sz="8" w:space="0"/>
              <w:right w:val="single" w:color="92CDDC" w:sz="8" w:space="0"/>
            </w:tcBorders>
            <w:shd w:val="clear" w:color="auto" w:fill="auto"/>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5</w:t>
            </w:r>
          </w:p>
        </w:tc>
        <w:tc>
          <w:tcPr>
            <w:tcW w:w="818" w:type="dxa"/>
            <w:tcBorders>
              <w:top w:val="nil"/>
              <w:left w:val="nil"/>
              <w:bottom w:val="single" w:color="92CDDC" w:sz="8" w:space="0"/>
              <w:right w:val="single" w:color="92CDDC" w:sz="8" w:space="0"/>
            </w:tcBorders>
            <w:shd w:val="clear" w:color="auto" w:fill="auto"/>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4</w:t>
            </w:r>
          </w:p>
        </w:tc>
        <w:tc>
          <w:tcPr>
            <w:tcW w:w="9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04"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68"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r>
      <w:tr>
        <w:tblPrEx>
          <w:tblLayout w:type="fixed"/>
          <w:tblCellMar>
            <w:top w:w="0" w:type="dxa"/>
            <w:left w:w="108" w:type="dxa"/>
            <w:bottom w:w="0" w:type="dxa"/>
            <w:right w:w="108" w:type="dxa"/>
          </w:tblCellMar>
        </w:tblPrEx>
        <w:trPr>
          <w:trHeight w:val="300" w:hRule="atLeast"/>
          <w:jc w:val="center"/>
        </w:trPr>
        <w:tc>
          <w:tcPr>
            <w:tcW w:w="1843" w:type="dxa"/>
            <w:vMerge w:val="continue"/>
            <w:tcBorders>
              <w:top w:val="nil"/>
              <w:left w:val="single" w:color="92CDDC" w:sz="8" w:space="0"/>
              <w:bottom w:val="single" w:color="92CDDC" w:sz="8" w:space="0"/>
              <w:right w:val="single" w:color="92CDDC" w:sz="8" w:space="0"/>
            </w:tcBorders>
            <w:vAlign w:val="center"/>
          </w:tcPr>
          <w:p>
            <w:pPr>
              <w:widowControl/>
              <w:jc w:val="left"/>
              <w:rPr>
                <w:rFonts w:ascii="宋体" w:hAnsi="宋体" w:eastAsia="宋体" w:cs="宋体"/>
                <w:b/>
                <w:bCs/>
                <w:color w:val="000000"/>
                <w:kern w:val="0"/>
                <w:szCs w:val="21"/>
              </w:rPr>
            </w:pPr>
          </w:p>
        </w:tc>
        <w:tc>
          <w:tcPr>
            <w:tcW w:w="793" w:type="dxa"/>
            <w:tcBorders>
              <w:top w:val="nil"/>
              <w:left w:val="nil"/>
              <w:bottom w:val="single" w:color="92CDDC" w:sz="8" w:space="0"/>
              <w:right w:val="single" w:color="92CDDC" w:sz="8" w:space="0"/>
            </w:tcBorders>
            <w:shd w:val="clear" w:color="000000" w:fill="DAEEF3"/>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833" w:type="dxa"/>
            <w:tcBorders>
              <w:top w:val="nil"/>
              <w:left w:val="nil"/>
              <w:bottom w:val="single" w:color="92CDDC" w:sz="8" w:space="0"/>
              <w:right w:val="single" w:color="92CDDC" w:sz="8" w:space="0"/>
            </w:tcBorders>
            <w:shd w:val="clear" w:color="000000" w:fill="DAEEF3"/>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10.34</w:t>
            </w:r>
          </w:p>
        </w:tc>
        <w:tc>
          <w:tcPr>
            <w:tcW w:w="1055" w:type="dxa"/>
            <w:tcBorders>
              <w:top w:val="nil"/>
              <w:left w:val="nil"/>
              <w:bottom w:val="single" w:color="92CDDC" w:sz="8" w:space="0"/>
              <w:right w:val="single" w:color="92CDDC" w:sz="8" w:space="0"/>
            </w:tcBorders>
            <w:shd w:val="clear" w:color="000000" w:fill="DAEEF3"/>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3.45</w:t>
            </w:r>
          </w:p>
        </w:tc>
        <w:tc>
          <w:tcPr>
            <w:tcW w:w="10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94" w:type="dxa"/>
            <w:tcBorders>
              <w:top w:val="nil"/>
              <w:left w:val="nil"/>
              <w:bottom w:val="single" w:color="92CDDC" w:sz="8" w:space="0"/>
              <w:right w:val="single" w:color="92CDDC" w:sz="8" w:space="0"/>
            </w:tcBorders>
            <w:shd w:val="clear" w:color="000000" w:fill="DAEEF3"/>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55.17</w:t>
            </w:r>
          </w:p>
        </w:tc>
        <w:tc>
          <w:tcPr>
            <w:tcW w:w="709" w:type="dxa"/>
            <w:tcBorders>
              <w:top w:val="nil"/>
              <w:left w:val="nil"/>
              <w:bottom w:val="single" w:color="92CDDC" w:sz="8" w:space="0"/>
              <w:right w:val="single" w:color="92CDDC" w:sz="8" w:space="0"/>
            </w:tcBorders>
            <w:shd w:val="clear" w:color="000000" w:fill="DAEEF3"/>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17.24</w:t>
            </w:r>
          </w:p>
        </w:tc>
        <w:tc>
          <w:tcPr>
            <w:tcW w:w="818" w:type="dxa"/>
            <w:tcBorders>
              <w:top w:val="nil"/>
              <w:left w:val="nil"/>
              <w:bottom w:val="single" w:color="92CDDC" w:sz="8" w:space="0"/>
              <w:right w:val="single" w:color="92CDDC" w:sz="8" w:space="0"/>
            </w:tcBorders>
            <w:shd w:val="clear" w:color="000000" w:fill="DAEEF3"/>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13.79</w:t>
            </w:r>
          </w:p>
        </w:tc>
        <w:tc>
          <w:tcPr>
            <w:tcW w:w="9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04"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68"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r>
      <w:tr>
        <w:tblPrEx>
          <w:tblLayout w:type="fixed"/>
          <w:tblCellMar>
            <w:top w:w="0" w:type="dxa"/>
            <w:left w:w="108" w:type="dxa"/>
            <w:bottom w:w="0" w:type="dxa"/>
            <w:right w:w="108" w:type="dxa"/>
          </w:tblCellMar>
        </w:tblPrEx>
        <w:trPr>
          <w:trHeight w:val="342" w:hRule="atLeast"/>
          <w:jc w:val="center"/>
        </w:trPr>
        <w:tc>
          <w:tcPr>
            <w:tcW w:w="1843" w:type="dxa"/>
            <w:vMerge w:val="restart"/>
            <w:tcBorders>
              <w:top w:val="nil"/>
              <w:left w:val="single" w:color="92CDDC" w:sz="8" w:space="0"/>
              <w:bottom w:val="single" w:color="92CDDC" w:sz="8" w:space="0"/>
              <w:right w:val="single" w:color="92CDDC" w:sz="8" w:space="0"/>
            </w:tcBorders>
            <w:shd w:val="clear" w:color="auto" w:fill="auto"/>
            <w:vAlign w:val="center"/>
          </w:tcPr>
          <w:p>
            <w:pPr>
              <w:widowControl/>
              <w:rPr>
                <w:rFonts w:ascii="宋体" w:hAnsi="宋体" w:eastAsia="宋体" w:cs="宋体"/>
                <w:b/>
                <w:bCs/>
                <w:color w:val="000000"/>
                <w:kern w:val="0"/>
                <w:szCs w:val="21"/>
              </w:rPr>
            </w:pPr>
            <w:r>
              <w:rPr>
                <w:rFonts w:hint="eastAsia" w:ascii="宋体" w:hAnsi="宋体" w:eastAsia="宋体" w:cs="宋体"/>
                <w:b/>
                <w:bCs/>
                <w:color w:val="000000"/>
                <w:kern w:val="0"/>
                <w:szCs w:val="21"/>
                <w:lang w:val="en-US" w:eastAsia="zh-CN"/>
              </w:rPr>
              <w:t>导演</w:t>
            </w:r>
            <w:r>
              <w:rPr>
                <w:rFonts w:hint="eastAsia" w:ascii="宋体" w:hAnsi="宋体" w:eastAsia="宋体" w:cs="宋体"/>
                <w:b/>
                <w:bCs/>
                <w:color w:val="000000"/>
                <w:kern w:val="0"/>
                <w:szCs w:val="21"/>
              </w:rPr>
              <w:t>(影视制片)</w:t>
            </w:r>
          </w:p>
        </w:tc>
        <w:tc>
          <w:tcPr>
            <w:tcW w:w="793" w:type="dxa"/>
            <w:tcBorders>
              <w:top w:val="nil"/>
              <w:left w:val="nil"/>
              <w:bottom w:val="single" w:color="92CDDC" w:sz="8" w:space="0"/>
              <w:right w:val="single" w:color="92CDDC" w:sz="8"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人数</w:t>
            </w:r>
          </w:p>
        </w:tc>
        <w:tc>
          <w:tcPr>
            <w:tcW w:w="833" w:type="dxa"/>
            <w:tcBorders>
              <w:top w:val="nil"/>
              <w:left w:val="nil"/>
              <w:bottom w:val="single" w:color="92CDDC" w:sz="8" w:space="0"/>
              <w:right w:val="single" w:color="92CDDC" w:sz="8" w:space="0"/>
            </w:tcBorders>
            <w:shd w:val="clear" w:color="auto" w:fill="auto"/>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9</w:t>
            </w:r>
          </w:p>
        </w:tc>
        <w:tc>
          <w:tcPr>
            <w:tcW w:w="1055" w:type="dxa"/>
            <w:tcBorders>
              <w:top w:val="nil"/>
              <w:left w:val="nil"/>
              <w:bottom w:val="single" w:color="92CDDC" w:sz="8" w:space="0"/>
              <w:right w:val="single" w:color="92CDDC" w:sz="8" w:space="0"/>
            </w:tcBorders>
            <w:shd w:val="clear" w:color="auto" w:fill="auto"/>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7</w:t>
            </w:r>
          </w:p>
        </w:tc>
        <w:tc>
          <w:tcPr>
            <w:tcW w:w="10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94" w:type="dxa"/>
            <w:tcBorders>
              <w:top w:val="nil"/>
              <w:left w:val="nil"/>
              <w:bottom w:val="single" w:color="92CDDC" w:sz="8" w:space="0"/>
              <w:right w:val="single" w:color="92CDDC" w:sz="8" w:space="0"/>
            </w:tcBorders>
            <w:shd w:val="clear" w:color="auto" w:fill="auto"/>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14</w:t>
            </w:r>
          </w:p>
        </w:tc>
        <w:tc>
          <w:tcPr>
            <w:tcW w:w="709" w:type="dxa"/>
            <w:tcBorders>
              <w:top w:val="nil"/>
              <w:left w:val="nil"/>
              <w:bottom w:val="single" w:color="92CDDC" w:sz="8" w:space="0"/>
              <w:right w:val="single" w:color="92CDDC" w:sz="8" w:space="0"/>
            </w:tcBorders>
            <w:shd w:val="clear" w:color="auto" w:fill="auto"/>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2</w:t>
            </w:r>
          </w:p>
        </w:tc>
        <w:tc>
          <w:tcPr>
            <w:tcW w:w="818" w:type="dxa"/>
            <w:tcBorders>
              <w:top w:val="nil"/>
              <w:left w:val="nil"/>
              <w:bottom w:val="single" w:color="92CDDC" w:sz="8" w:space="0"/>
              <w:right w:val="single" w:color="92CDDC" w:sz="8" w:space="0"/>
            </w:tcBorders>
            <w:shd w:val="clear" w:color="auto" w:fill="auto"/>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3</w:t>
            </w:r>
          </w:p>
        </w:tc>
        <w:tc>
          <w:tcPr>
            <w:tcW w:w="955" w:type="dxa"/>
            <w:tcBorders>
              <w:top w:val="nil"/>
              <w:left w:val="nil"/>
              <w:bottom w:val="single" w:color="92CDDC" w:sz="8" w:space="0"/>
              <w:right w:val="single" w:color="92CDDC" w:sz="8" w:space="0"/>
            </w:tcBorders>
            <w:shd w:val="clear" w:color="auto" w:fill="auto"/>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3</w:t>
            </w:r>
          </w:p>
        </w:tc>
        <w:tc>
          <w:tcPr>
            <w:tcW w:w="704" w:type="dxa"/>
            <w:tcBorders>
              <w:top w:val="nil"/>
              <w:left w:val="nil"/>
              <w:bottom w:val="single" w:color="92CDDC" w:sz="8" w:space="0"/>
              <w:right w:val="single" w:color="92CDDC" w:sz="8" w:space="0"/>
            </w:tcBorders>
            <w:shd w:val="clear" w:color="auto" w:fill="auto"/>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1</w:t>
            </w:r>
          </w:p>
        </w:tc>
        <w:tc>
          <w:tcPr>
            <w:tcW w:w="868"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r>
      <w:tr>
        <w:tblPrEx>
          <w:tblLayout w:type="fixed"/>
          <w:tblCellMar>
            <w:top w:w="0" w:type="dxa"/>
            <w:left w:w="108" w:type="dxa"/>
            <w:bottom w:w="0" w:type="dxa"/>
            <w:right w:w="108" w:type="dxa"/>
          </w:tblCellMar>
        </w:tblPrEx>
        <w:trPr>
          <w:trHeight w:val="300" w:hRule="atLeast"/>
          <w:jc w:val="center"/>
        </w:trPr>
        <w:tc>
          <w:tcPr>
            <w:tcW w:w="1843" w:type="dxa"/>
            <w:vMerge w:val="continue"/>
            <w:tcBorders>
              <w:top w:val="nil"/>
              <w:left w:val="single" w:color="92CDDC" w:sz="8" w:space="0"/>
              <w:bottom w:val="single" w:color="92CDDC" w:sz="8" w:space="0"/>
              <w:right w:val="single" w:color="92CDDC" w:sz="8" w:space="0"/>
            </w:tcBorders>
            <w:vAlign w:val="center"/>
          </w:tcPr>
          <w:p>
            <w:pPr>
              <w:widowControl/>
              <w:jc w:val="left"/>
              <w:rPr>
                <w:rFonts w:ascii="宋体" w:hAnsi="宋体" w:eastAsia="宋体" w:cs="宋体"/>
                <w:b/>
                <w:bCs/>
                <w:color w:val="000000"/>
                <w:kern w:val="0"/>
                <w:szCs w:val="21"/>
              </w:rPr>
            </w:pPr>
          </w:p>
        </w:tc>
        <w:tc>
          <w:tcPr>
            <w:tcW w:w="793" w:type="dxa"/>
            <w:tcBorders>
              <w:top w:val="nil"/>
              <w:left w:val="nil"/>
              <w:bottom w:val="single" w:color="92CDDC" w:sz="8" w:space="0"/>
              <w:right w:val="single" w:color="92CDDC" w:sz="8" w:space="0"/>
            </w:tcBorders>
            <w:shd w:val="clear" w:color="000000" w:fill="DAEEF3"/>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833" w:type="dxa"/>
            <w:tcBorders>
              <w:top w:val="nil"/>
              <w:left w:val="nil"/>
              <w:bottom w:val="single" w:color="92CDDC" w:sz="8" w:space="0"/>
              <w:right w:val="single" w:color="92CDDC" w:sz="8" w:space="0"/>
            </w:tcBorders>
            <w:shd w:val="clear" w:color="000000" w:fill="DAEEF3"/>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23.08</w:t>
            </w:r>
          </w:p>
        </w:tc>
        <w:tc>
          <w:tcPr>
            <w:tcW w:w="1055" w:type="dxa"/>
            <w:tcBorders>
              <w:top w:val="nil"/>
              <w:left w:val="nil"/>
              <w:bottom w:val="single" w:color="92CDDC" w:sz="8" w:space="0"/>
              <w:right w:val="single" w:color="92CDDC" w:sz="8" w:space="0"/>
            </w:tcBorders>
            <w:shd w:val="clear" w:color="000000" w:fill="DAEEF3"/>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17.95</w:t>
            </w:r>
          </w:p>
        </w:tc>
        <w:tc>
          <w:tcPr>
            <w:tcW w:w="10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94" w:type="dxa"/>
            <w:tcBorders>
              <w:top w:val="nil"/>
              <w:left w:val="nil"/>
              <w:bottom w:val="single" w:color="92CDDC" w:sz="8" w:space="0"/>
              <w:right w:val="single" w:color="92CDDC" w:sz="8" w:space="0"/>
            </w:tcBorders>
            <w:shd w:val="clear" w:color="000000" w:fill="DAEEF3"/>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35.90</w:t>
            </w:r>
          </w:p>
        </w:tc>
        <w:tc>
          <w:tcPr>
            <w:tcW w:w="709" w:type="dxa"/>
            <w:tcBorders>
              <w:top w:val="nil"/>
              <w:left w:val="nil"/>
              <w:bottom w:val="single" w:color="92CDDC" w:sz="8" w:space="0"/>
              <w:right w:val="single" w:color="92CDDC" w:sz="8" w:space="0"/>
            </w:tcBorders>
            <w:shd w:val="clear" w:color="000000" w:fill="DAEEF3"/>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5.13</w:t>
            </w:r>
          </w:p>
        </w:tc>
        <w:tc>
          <w:tcPr>
            <w:tcW w:w="818" w:type="dxa"/>
            <w:tcBorders>
              <w:top w:val="nil"/>
              <w:left w:val="nil"/>
              <w:bottom w:val="single" w:color="92CDDC" w:sz="8" w:space="0"/>
              <w:right w:val="single" w:color="92CDDC" w:sz="8" w:space="0"/>
            </w:tcBorders>
            <w:shd w:val="clear" w:color="000000" w:fill="DAEEF3"/>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7.69</w:t>
            </w:r>
          </w:p>
        </w:tc>
        <w:tc>
          <w:tcPr>
            <w:tcW w:w="955" w:type="dxa"/>
            <w:tcBorders>
              <w:top w:val="nil"/>
              <w:left w:val="nil"/>
              <w:bottom w:val="single" w:color="92CDDC" w:sz="8" w:space="0"/>
              <w:right w:val="single" w:color="92CDDC" w:sz="8" w:space="0"/>
            </w:tcBorders>
            <w:shd w:val="clear" w:color="000000" w:fill="DAEEF3"/>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7.69</w:t>
            </w:r>
          </w:p>
        </w:tc>
        <w:tc>
          <w:tcPr>
            <w:tcW w:w="704" w:type="dxa"/>
            <w:tcBorders>
              <w:top w:val="nil"/>
              <w:left w:val="nil"/>
              <w:bottom w:val="single" w:color="92CDDC" w:sz="8" w:space="0"/>
              <w:right w:val="single" w:color="92CDDC" w:sz="8" w:space="0"/>
            </w:tcBorders>
            <w:shd w:val="clear" w:color="000000" w:fill="DAEEF3"/>
            <w:vAlign w:val="center"/>
          </w:tcPr>
          <w:p>
            <w:pPr>
              <w:widowControl/>
              <w:jc w:val="center"/>
              <w:rPr>
                <w:rFonts w:hint="eastAsia" w:ascii="Times New Roman" w:hAnsi="Times New Roman" w:eastAsia="等线" w:cs="Times New Roman"/>
                <w:color w:val="000000"/>
                <w:kern w:val="0"/>
                <w:szCs w:val="21"/>
                <w:lang w:eastAsia="zh-CN"/>
              </w:rPr>
            </w:pPr>
            <w:r>
              <w:rPr>
                <w:rFonts w:hint="eastAsia" w:ascii="Times New Roman" w:hAnsi="Times New Roman" w:eastAsia="等线" w:cs="Times New Roman"/>
                <w:color w:val="000000"/>
                <w:kern w:val="0"/>
                <w:szCs w:val="21"/>
                <w:lang w:val="en-US" w:eastAsia="zh-CN"/>
              </w:rPr>
              <w:t>2.56</w:t>
            </w:r>
          </w:p>
        </w:tc>
        <w:tc>
          <w:tcPr>
            <w:tcW w:w="868"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r>
      <w:tr>
        <w:tblPrEx>
          <w:tblLayout w:type="fixed"/>
          <w:tblCellMar>
            <w:top w:w="0" w:type="dxa"/>
            <w:left w:w="108" w:type="dxa"/>
            <w:bottom w:w="0" w:type="dxa"/>
            <w:right w:w="108" w:type="dxa"/>
          </w:tblCellMar>
        </w:tblPrEx>
        <w:trPr>
          <w:trHeight w:val="300" w:hRule="atLeast"/>
          <w:jc w:val="center"/>
        </w:trPr>
        <w:tc>
          <w:tcPr>
            <w:tcW w:w="1843" w:type="dxa"/>
            <w:vMerge w:val="restart"/>
            <w:tcBorders>
              <w:top w:val="nil"/>
              <w:left w:val="single" w:color="92CDDC" w:sz="8" w:space="0"/>
              <w:bottom w:val="single" w:color="92CDDC" w:sz="8" w:space="0"/>
              <w:right w:val="single" w:color="92CDDC" w:sz="8" w:space="0"/>
            </w:tcBorders>
            <w:shd w:val="clear" w:color="auto" w:fill="auto"/>
            <w:vAlign w:val="center"/>
          </w:tcPr>
          <w:p>
            <w:pPr>
              <w:widowControl/>
              <w:rPr>
                <w:rFonts w:ascii="宋体" w:hAnsi="宋体" w:eastAsia="宋体" w:cs="宋体"/>
                <w:b/>
                <w:bCs/>
                <w:color w:val="000000"/>
                <w:kern w:val="0"/>
                <w:szCs w:val="21"/>
              </w:rPr>
            </w:pPr>
            <w:r>
              <w:rPr>
                <w:rFonts w:hint="eastAsia" w:ascii="宋体" w:hAnsi="宋体" w:eastAsia="宋体" w:cs="宋体"/>
                <w:b/>
                <w:bCs/>
                <w:color w:val="000000"/>
                <w:kern w:val="0"/>
                <w:szCs w:val="21"/>
              </w:rPr>
              <w:t>戏剧</w:t>
            </w:r>
          </w:p>
        </w:tc>
        <w:tc>
          <w:tcPr>
            <w:tcW w:w="793" w:type="dxa"/>
            <w:tcBorders>
              <w:top w:val="nil"/>
              <w:left w:val="nil"/>
              <w:bottom w:val="single" w:color="92CDDC" w:sz="8" w:space="0"/>
              <w:right w:val="single" w:color="92CDDC" w:sz="8"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人数</w:t>
            </w:r>
          </w:p>
        </w:tc>
        <w:tc>
          <w:tcPr>
            <w:tcW w:w="833"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8</w:t>
            </w:r>
          </w:p>
        </w:tc>
        <w:tc>
          <w:tcPr>
            <w:tcW w:w="10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w:t>
            </w:r>
          </w:p>
        </w:tc>
        <w:tc>
          <w:tcPr>
            <w:tcW w:w="10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8</w:t>
            </w:r>
          </w:p>
        </w:tc>
        <w:tc>
          <w:tcPr>
            <w:tcW w:w="794"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12</w:t>
            </w:r>
          </w:p>
        </w:tc>
        <w:tc>
          <w:tcPr>
            <w:tcW w:w="709"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18"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w:t>
            </w:r>
          </w:p>
        </w:tc>
        <w:tc>
          <w:tcPr>
            <w:tcW w:w="9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04"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68"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r>
      <w:tr>
        <w:tblPrEx>
          <w:tblLayout w:type="fixed"/>
          <w:tblCellMar>
            <w:top w:w="0" w:type="dxa"/>
            <w:left w:w="108" w:type="dxa"/>
            <w:bottom w:w="0" w:type="dxa"/>
            <w:right w:w="108" w:type="dxa"/>
          </w:tblCellMar>
        </w:tblPrEx>
        <w:trPr>
          <w:trHeight w:val="300" w:hRule="atLeast"/>
          <w:jc w:val="center"/>
        </w:trPr>
        <w:tc>
          <w:tcPr>
            <w:tcW w:w="1843" w:type="dxa"/>
            <w:vMerge w:val="continue"/>
            <w:tcBorders>
              <w:top w:val="nil"/>
              <w:left w:val="single" w:color="92CDDC" w:sz="8" w:space="0"/>
              <w:bottom w:val="single" w:color="92CDDC" w:sz="8" w:space="0"/>
              <w:right w:val="single" w:color="92CDDC" w:sz="8" w:space="0"/>
            </w:tcBorders>
            <w:vAlign w:val="center"/>
          </w:tcPr>
          <w:p>
            <w:pPr>
              <w:widowControl/>
              <w:jc w:val="left"/>
              <w:rPr>
                <w:rFonts w:ascii="宋体" w:hAnsi="宋体" w:eastAsia="宋体" w:cs="宋体"/>
                <w:b/>
                <w:bCs/>
                <w:color w:val="000000"/>
                <w:kern w:val="0"/>
                <w:szCs w:val="21"/>
              </w:rPr>
            </w:pPr>
          </w:p>
        </w:tc>
        <w:tc>
          <w:tcPr>
            <w:tcW w:w="793" w:type="dxa"/>
            <w:tcBorders>
              <w:top w:val="nil"/>
              <w:left w:val="nil"/>
              <w:bottom w:val="single" w:color="92CDDC" w:sz="8" w:space="0"/>
              <w:right w:val="single" w:color="92CDDC" w:sz="8" w:space="0"/>
            </w:tcBorders>
            <w:shd w:val="clear" w:color="000000" w:fill="DAEEF3"/>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833"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22.22</w:t>
            </w:r>
          </w:p>
        </w:tc>
        <w:tc>
          <w:tcPr>
            <w:tcW w:w="10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11.11</w:t>
            </w:r>
          </w:p>
        </w:tc>
        <w:tc>
          <w:tcPr>
            <w:tcW w:w="10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22.22</w:t>
            </w:r>
          </w:p>
        </w:tc>
        <w:tc>
          <w:tcPr>
            <w:tcW w:w="794"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33.33</w:t>
            </w:r>
          </w:p>
        </w:tc>
        <w:tc>
          <w:tcPr>
            <w:tcW w:w="709"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18"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8.33</w:t>
            </w:r>
          </w:p>
        </w:tc>
        <w:tc>
          <w:tcPr>
            <w:tcW w:w="9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04"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68"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2.78</w:t>
            </w:r>
          </w:p>
        </w:tc>
      </w:tr>
      <w:tr>
        <w:tblPrEx>
          <w:tblLayout w:type="fixed"/>
          <w:tblCellMar>
            <w:top w:w="0" w:type="dxa"/>
            <w:left w:w="108" w:type="dxa"/>
            <w:bottom w:w="0" w:type="dxa"/>
            <w:right w:w="108" w:type="dxa"/>
          </w:tblCellMar>
        </w:tblPrEx>
        <w:trPr>
          <w:trHeight w:val="300" w:hRule="atLeast"/>
          <w:jc w:val="center"/>
        </w:trPr>
        <w:tc>
          <w:tcPr>
            <w:tcW w:w="1843" w:type="dxa"/>
            <w:vMerge w:val="restart"/>
            <w:tcBorders>
              <w:top w:val="nil"/>
              <w:left w:val="single" w:color="92CDDC" w:sz="8" w:space="0"/>
              <w:bottom w:val="single" w:color="92CDDC" w:sz="8" w:space="0"/>
              <w:right w:val="single" w:color="92CDDC" w:sz="8" w:space="0"/>
            </w:tcBorders>
            <w:shd w:val="clear" w:color="auto" w:fill="auto"/>
            <w:vAlign w:val="center"/>
          </w:tcPr>
          <w:p>
            <w:pPr>
              <w:widowControl/>
              <w:rPr>
                <w:rFonts w:ascii="宋体" w:hAnsi="宋体" w:eastAsia="宋体" w:cs="宋体"/>
                <w:b/>
                <w:bCs/>
                <w:color w:val="000000"/>
                <w:kern w:val="0"/>
                <w:szCs w:val="21"/>
              </w:rPr>
            </w:pPr>
            <w:r>
              <w:rPr>
                <w:rFonts w:hint="eastAsia" w:ascii="宋体" w:hAnsi="宋体" w:eastAsia="宋体" w:cs="宋体"/>
                <w:b/>
                <w:bCs/>
                <w:color w:val="000000"/>
                <w:kern w:val="0"/>
                <w:szCs w:val="21"/>
              </w:rPr>
              <w:t>戏剧学(戏剧史论与批评)</w:t>
            </w:r>
          </w:p>
        </w:tc>
        <w:tc>
          <w:tcPr>
            <w:tcW w:w="793" w:type="dxa"/>
            <w:tcBorders>
              <w:top w:val="nil"/>
              <w:left w:val="nil"/>
              <w:bottom w:val="single" w:color="92CDDC" w:sz="8" w:space="0"/>
              <w:right w:val="single" w:color="92CDDC" w:sz="8"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人数</w:t>
            </w:r>
          </w:p>
        </w:tc>
        <w:tc>
          <w:tcPr>
            <w:tcW w:w="833"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w:t>
            </w:r>
          </w:p>
        </w:tc>
        <w:tc>
          <w:tcPr>
            <w:tcW w:w="10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9</w:t>
            </w:r>
          </w:p>
        </w:tc>
        <w:tc>
          <w:tcPr>
            <w:tcW w:w="10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94"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15</w:t>
            </w:r>
          </w:p>
        </w:tc>
        <w:tc>
          <w:tcPr>
            <w:tcW w:w="709"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18"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6</w:t>
            </w:r>
          </w:p>
        </w:tc>
        <w:tc>
          <w:tcPr>
            <w:tcW w:w="9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w:t>
            </w:r>
          </w:p>
        </w:tc>
        <w:tc>
          <w:tcPr>
            <w:tcW w:w="704"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68"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r>
      <w:tr>
        <w:tblPrEx>
          <w:tblLayout w:type="fixed"/>
          <w:tblCellMar>
            <w:top w:w="0" w:type="dxa"/>
            <w:left w:w="108" w:type="dxa"/>
            <w:bottom w:w="0" w:type="dxa"/>
            <w:right w:w="108" w:type="dxa"/>
          </w:tblCellMar>
        </w:tblPrEx>
        <w:trPr>
          <w:trHeight w:val="300" w:hRule="atLeast"/>
          <w:jc w:val="center"/>
        </w:trPr>
        <w:tc>
          <w:tcPr>
            <w:tcW w:w="1843" w:type="dxa"/>
            <w:vMerge w:val="continue"/>
            <w:tcBorders>
              <w:top w:val="nil"/>
              <w:left w:val="single" w:color="92CDDC" w:sz="8" w:space="0"/>
              <w:bottom w:val="single" w:color="92CDDC" w:sz="8" w:space="0"/>
              <w:right w:val="single" w:color="92CDDC" w:sz="8" w:space="0"/>
            </w:tcBorders>
            <w:vAlign w:val="center"/>
          </w:tcPr>
          <w:p>
            <w:pPr>
              <w:widowControl/>
              <w:jc w:val="left"/>
              <w:rPr>
                <w:rFonts w:ascii="宋体" w:hAnsi="宋体" w:eastAsia="宋体" w:cs="宋体"/>
                <w:b/>
                <w:bCs/>
                <w:color w:val="000000"/>
                <w:kern w:val="0"/>
                <w:szCs w:val="21"/>
              </w:rPr>
            </w:pPr>
          </w:p>
        </w:tc>
        <w:tc>
          <w:tcPr>
            <w:tcW w:w="793" w:type="dxa"/>
            <w:tcBorders>
              <w:top w:val="nil"/>
              <w:left w:val="nil"/>
              <w:bottom w:val="single" w:color="92CDDC" w:sz="8" w:space="0"/>
              <w:right w:val="single" w:color="92CDDC" w:sz="8" w:space="0"/>
            </w:tcBorders>
            <w:shd w:val="clear" w:color="000000" w:fill="DAEEF3"/>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833"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5.71</w:t>
            </w:r>
          </w:p>
        </w:tc>
        <w:tc>
          <w:tcPr>
            <w:tcW w:w="10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25.71</w:t>
            </w:r>
          </w:p>
        </w:tc>
        <w:tc>
          <w:tcPr>
            <w:tcW w:w="10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94"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42.86</w:t>
            </w:r>
          </w:p>
        </w:tc>
        <w:tc>
          <w:tcPr>
            <w:tcW w:w="709"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18"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17.14</w:t>
            </w:r>
          </w:p>
        </w:tc>
        <w:tc>
          <w:tcPr>
            <w:tcW w:w="9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5.71</w:t>
            </w:r>
          </w:p>
        </w:tc>
        <w:tc>
          <w:tcPr>
            <w:tcW w:w="704"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68"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2.86</w:t>
            </w:r>
          </w:p>
        </w:tc>
      </w:tr>
      <w:tr>
        <w:tblPrEx>
          <w:tblLayout w:type="fixed"/>
          <w:tblCellMar>
            <w:top w:w="0" w:type="dxa"/>
            <w:left w:w="108" w:type="dxa"/>
            <w:bottom w:w="0" w:type="dxa"/>
            <w:right w:w="108" w:type="dxa"/>
          </w:tblCellMar>
        </w:tblPrEx>
        <w:trPr>
          <w:trHeight w:val="300" w:hRule="atLeast"/>
          <w:jc w:val="center"/>
        </w:trPr>
        <w:tc>
          <w:tcPr>
            <w:tcW w:w="1843" w:type="dxa"/>
            <w:vMerge w:val="restart"/>
            <w:tcBorders>
              <w:top w:val="nil"/>
              <w:left w:val="single" w:color="92CDDC" w:sz="8" w:space="0"/>
              <w:bottom w:val="single" w:color="92CDDC" w:sz="8" w:space="0"/>
              <w:right w:val="single" w:color="92CDDC" w:sz="8" w:space="0"/>
            </w:tcBorders>
            <w:shd w:val="clear" w:color="auto" w:fill="auto"/>
            <w:vAlign w:val="center"/>
          </w:tcPr>
          <w:p>
            <w:pPr>
              <w:widowControl/>
              <w:rPr>
                <w:rFonts w:ascii="宋体" w:hAnsi="宋体" w:eastAsia="宋体" w:cs="宋体"/>
                <w:b/>
                <w:bCs/>
                <w:color w:val="000000"/>
                <w:kern w:val="0"/>
                <w:szCs w:val="21"/>
              </w:rPr>
            </w:pPr>
            <w:r>
              <w:rPr>
                <w:rFonts w:hint="eastAsia" w:ascii="宋体" w:hAnsi="宋体" w:eastAsia="宋体" w:cs="宋体"/>
                <w:b/>
                <w:bCs/>
                <w:color w:val="000000"/>
                <w:kern w:val="0"/>
                <w:szCs w:val="21"/>
              </w:rPr>
              <w:t>戏剧影视导演</w:t>
            </w:r>
          </w:p>
        </w:tc>
        <w:tc>
          <w:tcPr>
            <w:tcW w:w="793" w:type="dxa"/>
            <w:tcBorders>
              <w:top w:val="nil"/>
              <w:left w:val="nil"/>
              <w:bottom w:val="single" w:color="92CDDC" w:sz="8" w:space="0"/>
              <w:right w:val="single" w:color="92CDDC" w:sz="8"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人数</w:t>
            </w:r>
          </w:p>
        </w:tc>
        <w:tc>
          <w:tcPr>
            <w:tcW w:w="833"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16</w:t>
            </w:r>
          </w:p>
        </w:tc>
        <w:tc>
          <w:tcPr>
            <w:tcW w:w="10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21</w:t>
            </w:r>
          </w:p>
        </w:tc>
        <w:tc>
          <w:tcPr>
            <w:tcW w:w="10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w:t>
            </w:r>
          </w:p>
        </w:tc>
        <w:tc>
          <w:tcPr>
            <w:tcW w:w="794"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36</w:t>
            </w:r>
          </w:p>
        </w:tc>
        <w:tc>
          <w:tcPr>
            <w:tcW w:w="709"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8</w:t>
            </w:r>
          </w:p>
        </w:tc>
        <w:tc>
          <w:tcPr>
            <w:tcW w:w="818"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12</w:t>
            </w:r>
          </w:p>
        </w:tc>
        <w:tc>
          <w:tcPr>
            <w:tcW w:w="9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w:t>
            </w:r>
          </w:p>
        </w:tc>
        <w:tc>
          <w:tcPr>
            <w:tcW w:w="704"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868"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r>
      <w:tr>
        <w:tblPrEx>
          <w:tblLayout w:type="fixed"/>
          <w:tblCellMar>
            <w:top w:w="0" w:type="dxa"/>
            <w:left w:w="108" w:type="dxa"/>
            <w:bottom w:w="0" w:type="dxa"/>
            <w:right w:w="108" w:type="dxa"/>
          </w:tblCellMar>
        </w:tblPrEx>
        <w:trPr>
          <w:trHeight w:val="300" w:hRule="atLeast"/>
          <w:jc w:val="center"/>
        </w:trPr>
        <w:tc>
          <w:tcPr>
            <w:tcW w:w="1843" w:type="dxa"/>
            <w:vMerge w:val="continue"/>
            <w:tcBorders>
              <w:top w:val="nil"/>
              <w:left w:val="single" w:color="92CDDC" w:sz="8" w:space="0"/>
              <w:bottom w:val="single" w:color="92CDDC" w:sz="8" w:space="0"/>
              <w:right w:val="single" w:color="92CDDC" w:sz="8" w:space="0"/>
            </w:tcBorders>
            <w:vAlign w:val="center"/>
          </w:tcPr>
          <w:p>
            <w:pPr>
              <w:widowControl/>
              <w:jc w:val="left"/>
              <w:rPr>
                <w:rFonts w:ascii="宋体" w:hAnsi="宋体" w:eastAsia="宋体" w:cs="宋体"/>
                <w:b/>
                <w:bCs/>
                <w:color w:val="000000"/>
                <w:kern w:val="0"/>
                <w:szCs w:val="21"/>
              </w:rPr>
            </w:pPr>
          </w:p>
        </w:tc>
        <w:tc>
          <w:tcPr>
            <w:tcW w:w="793" w:type="dxa"/>
            <w:tcBorders>
              <w:top w:val="nil"/>
              <w:left w:val="nil"/>
              <w:bottom w:val="single" w:color="92CDDC" w:sz="8" w:space="0"/>
              <w:right w:val="single" w:color="92CDDC" w:sz="8" w:space="0"/>
            </w:tcBorders>
            <w:shd w:val="clear" w:color="000000" w:fill="DAEEF3"/>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833"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15.84</w:t>
            </w:r>
          </w:p>
        </w:tc>
        <w:tc>
          <w:tcPr>
            <w:tcW w:w="10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20.79</w:t>
            </w:r>
          </w:p>
        </w:tc>
        <w:tc>
          <w:tcPr>
            <w:tcW w:w="10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1.98</w:t>
            </w:r>
          </w:p>
        </w:tc>
        <w:tc>
          <w:tcPr>
            <w:tcW w:w="794"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35.64</w:t>
            </w:r>
          </w:p>
        </w:tc>
        <w:tc>
          <w:tcPr>
            <w:tcW w:w="709"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7.92</w:t>
            </w:r>
          </w:p>
        </w:tc>
        <w:tc>
          <w:tcPr>
            <w:tcW w:w="818"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11.88</w:t>
            </w:r>
          </w:p>
        </w:tc>
        <w:tc>
          <w:tcPr>
            <w:tcW w:w="9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4.95</w:t>
            </w:r>
          </w:p>
        </w:tc>
        <w:tc>
          <w:tcPr>
            <w:tcW w:w="704"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0.99</w:t>
            </w:r>
          </w:p>
        </w:tc>
        <w:tc>
          <w:tcPr>
            <w:tcW w:w="868"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r>
      <w:tr>
        <w:tblPrEx>
          <w:tblLayout w:type="fixed"/>
          <w:tblCellMar>
            <w:top w:w="0" w:type="dxa"/>
            <w:left w:w="108" w:type="dxa"/>
            <w:bottom w:w="0" w:type="dxa"/>
            <w:right w:w="108" w:type="dxa"/>
          </w:tblCellMar>
        </w:tblPrEx>
        <w:trPr>
          <w:trHeight w:val="300" w:hRule="atLeast"/>
          <w:jc w:val="center"/>
        </w:trPr>
        <w:tc>
          <w:tcPr>
            <w:tcW w:w="1843" w:type="dxa"/>
            <w:vMerge w:val="restart"/>
            <w:tcBorders>
              <w:top w:val="nil"/>
              <w:left w:val="single" w:color="92CDDC" w:sz="8" w:space="0"/>
              <w:bottom w:val="single" w:color="92CDDC" w:sz="8" w:space="0"/>
              <w:right w:val="single" w:color="92CDDC" w:sz="8" w:space="0"/>
            </w:tcBorders>
            <w:shd w:val="clear" w:color="auto" w:fill="auto"/>
            <w:vAlign w:val="center"/>
          </w:tcPr>
          <w:p>
            <w:pPr>
              <w:widowControl/>
              <w:rPr>
                <w:rFonts w:ascii="宋体" w:hAnsi="宋体" w:eastAsia="宋体" w:cs="宋体"/>
                <w:b/>
                <w:bCs/>
                <w:color w:val="000000"/>
                <w:kern w:val="0"/>
                <w:szCs w:val="21"/>
              </w:rPr>
            </w:pPr>
            <w:r>
              <w:rPr>
                <w:rFonts w:hint="eastAsia" w:ascii="宋体" w:hAnsi="宋体" w:eastAsia="宋体" w:cs="宋体"/>
                <w:b/>
                <w:bCs/>
                <w:color w:val="000000"/>
                <w:kern w:val="0"/>
                <w:szCs w:val="21"/>
              </w:rPr>
              <w:t>戏剧影视美术设计(舞台灯光)</w:t>
            </w:r>
          </w:p>
        </w:tc>
        <w:tc>
          <w:tcPr>
            <w:tcW w:w="793" w:type="dxa"/>
            <w:tcBorders>
              <w:top w:val="nil"/>
              <w:left w:val="nil"/>
              <w:bottom w:val="single" w:color="92CDDC" w:sz="8" w:space="0"/>
              <w:right w:val="single" w:color="92CDDC" w:sz="8"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人数</w:t>
            </w:r>
          </w:p>
        </w:tc>
        <w:tc>
          <w:tcPr>
            <w:tcW w:w="833"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w:t>
            </w:r>
          </w:p>
        </w:tc>
        <w:tc>
          <w:tcPr>
            <w:tcW w:w="10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6</w:t>
            </w:r>
          </w:p>
        </w:tc>
        <w:tc>
          <w:tcPr>
            <w:tcW w:w="10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94"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9</w:t>
            </w:r>
          </w:p>
        </w:tc>
        <w:tc>
          <w:tcPr>
            <w:tcW w:w="709"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18"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9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04"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68"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r>
      <w:tr>
        <w:tblPrEx>
          <w:tblLayout w:type="fixed"/>
          <w:tblCellMar>
            <w:top w:w="0" w:type="dxa"/>
            <w:left w:w="108" w:type="dxa"/>
            <w:bottom w:w="0" w:type="dxa"/>
            <w:right w:w="108" w:type="dxa"/>
          </w:tblCellMar>
        </w:tblPrEx>
        <w:trPr>
          <w:trHeight w:val="300" w:hRule="atLeast"/>
          <w:jc w:val="center"/>
        </w:trPr>
        <w:tc>
          <w:tcPr>
            <w:tcW w:w="1843" w:type="dxa"/>
            <w:vMerge w:val="continue"/>
            <w:tcBorders>
              <w:top w:val="nil"/>
              <w:left w:val="single" w:color="92CDDC" w:sz="8" w:space="0"/>
              <w:bottom w:val="single" w:color="92CDDC" w:sz="8" w:space="0"/>
              <w:right w:val="single" w:color="92CDDC" w:sz="8" w:space="0"/>
            </w:tcBorders>
            <w:vAlign w:val="center"/>
          </w:tcPr>
          <w:p>
            <w:pPr>
              <w:widowControl/>
              <w:jc w:val="left"/>
              <w:rPr>
                <w:rFonts w:ascii="宋体" w:hAnsi="宋体" w:eastAsia="宋体" w:cs="宋体"/>
                <w:b/>
                <w:bCs/>
                <w:color w:val="000000"/>
                <w:kern w:val="0"/>
                <w:szCs w:val="21"/>
              </w:rPr>
            </w:pPr>
          </w:p>
        </w:tc>
        <w:tc>
          <w:tcPr>
            <w:tcW w:w="793" w:type="dxa"/>
            <w:tcBorders>
              <w:top w:val="nil"/>
              <w:left w:val="nil"/>
              <w:bottom w:val="single" w:color="92CDDC" w:sz="8" w:space="0"/>
              <w:right w:val="single" w:color="92CDDC" w:sz="8" w:space="0"/>
            </w:tcBorders>
            <w:shd w:val="clear" w:color="000000" w:fill="DAEEF3"/>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833"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11.76</w:t>
            </w:r>
          </w:p>
        </w:tc>
        <w:tc>
          <w:tcPr>
            <w:tcW w:w="10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35.29</w:t>
            </w:r>
          </w:p>
        </w:tc>
        <w:tc>
          <w:tcPr>
            <w:tcW w:w="10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94"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52.94</w:t>
            </w:r>
          </w:p>
        </w:tc>
        <w:tc>
          <w:tcPr>
            <w:tcW w:w="709"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18"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9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04"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68"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r>
      <w:tr>
        <w:tblPrEx>
          <w:tblLayout w:type="fixed"/>
          <w:tblCellMar>
            <w:top w:w="0" w:type="dxa"/>
            <w:left w:w="108" w:type="dxa"/>
            <w:bottom w:w="0" w:type="dxa"/>
            <w:right w:w="108" w:type="dxa"/>
          </w:tblCellMar>
        </w:tblPrEx>
        <w:trPr>
          <w:trHeight w:val="300" w:hRule="atLeast"/>
          <w:jc w:val="center"/>
        </w:trPr>
        <w:tc>
          <w:tcPr>
            <w:tcW w:w="1843" w:type="dxa"/>
            <w:vMerge w:val="restart"/>
            <w:tcBorders>
              <w:top w:val="nil"/>
              <w:left w:val="single" w:color="92CDDC" w:sz="8" w:space="0"/>
              <w:bottom w:val="single" w:color="92CDDC" w:sz="8" w:space="0"/>
              <w:right w:val="single" w:color="92CDDC" w:sz="8" w:space="0"/>
            </w:tcBorders>
            <w:shd w:val="clear" w:color="auto" w:fill="auto"/>
            <w:vAlign w:val="center"/>
          </w:tcPr>
          <w:p>
            <w:pPr>
              <w:widowControl/>
              <w:rPr>
                <w:rFonts w:ascii="宋体" w:hAnsi="宋体" w:eastAsia="宋体" w:cs="宋体"/>
                <w:b/>
                <w:bCs/>
                <w:color w:val="000000"/>
                <w:kern w:val="0"/>
                <w:szCs w:val="21"/>
              </w:rPr>
            </w:pPr>
            <w:r>
              <w:rPr>
                <w:rFonts w:hint="eastAsia" w:ascii="宋体" w:hAnsi="宋体" w:eastAsia="宋体" w:cs="宋体"/>
                <w:b/>
                <w:bCs/>
                <w:color w:val="000000"/>
                <w:kern w:val="0"/>
                <w:szCs w:val="21"/>
              </w:rPr>
              <w:t>戏剧影视美术设计(舞台服装)</w:t>
            </w:r>
          </w:p>
        </w:tc>
        <w:tc>
          <w:tcPr>
            <w:tcW w:w="793" w:type="dxa"/>
            <w:tcBorders>
              <w:top w:val="nil"/>
              <w:left w:val="nil"/>
              <w:bottom w:val="single" w:color="92CDDC" w:sz="8" w:space="0"/>
              <w:right w:val="single" w:color="92CDDC" w:sz="8"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人数</w:t>
            </w:r>
          </w:p>
        </w:tc>
        <w:tc>
          <w:tcPr>
            <w:tcW w:w="833"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10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w:t>
            </w:r>
          </w:p>
        </w:tc>
        <w:tc>
          <w:tcPr>
            <w:tcW w:w="10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94"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w:t>
            </w:r>
          </w:p>
        </w:tc>
        <w:tc>
          <w:tcPr>
            <w:tcW w:w="709"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18"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w:t>
            </w:r>
          </w:p>
        </w:tc>
        <w:tc>
          <w:tcPr>
            <w:tcW w:w="9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704"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68"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r>
      <w:tr>
        <w:tblPrEx>
          <w:tblLayout w:type="fixed"/>
          <w:tblCellMar>
            <w:top w:w="0" w:type="dxa"/>
            <w:left w:w="108" w:type="dxa"/>
            <w:bottom w:w="0" w:type="dxa"/>
            <w:right w:w="108" w:type="dxa"/>
          </w:tblCellMar>
        </w:tblPrEx>
        <w:trPr>
          <w:trHeight w:val="300" w:hRule="atLeast"/>
          <w:jc w:val="center"/>
        </w:trPr>
        <w:tc>
          <w:tcPr>
            <w:tcW w:w="1843" w:type="dxa"/>
            <w:vMerge w:val="continue"/>
            <w:tcBorders>
              <w:top w:val="nil"/>
              <w:left w:val="single" w:color="92CDDC" w:sz="8" w:space="0"/>
              <w:bottom w:val="single" w:color="92CDDC" w:sz="8" w:space="0"/>
              <w:right w:val="single" w:color="92CDDC" w:sz="8" w:space="0"/>
            </w:tcBorders>
            <w:vAlign w:val="center"/>
          </w:tcPr>
          <w:p>
            <w:pPr>
              <w:widowControl/>
              <w:jc w:val="left"/>
              <w:rPr>
                <w:rFonts w:ascii="宋体" w:hAnsi="宋体" w:eastAsia="宋体" w:cs="宋体"/>
                <w:b/>
                <w:bCs/>
                <w:color w:val="000000"/>
                <w:kern w:val="0"/>
                <w:szCs w:val="21"/>
              </w:rPr>
            </w:pPr>
          </w:p>
        </w:tc>
        <w:tc>
          <w:tcPr>
            <w:tcW w:w="793" w:type="dxa"/>
            <w:tcBorders>
              <w:top w:val="nil"/>
              <w:left w:val="nil"/>
              <w:bottom w:val="single" w:color="92CDDC" w:sz="8" w:space="0"/>
              <w:right w:val="single" w:color="92CDDC" w:sz="8" w:space="0"/>
            </w:tcBorders>
            <w:shd w:val="clear" w:color="000000" w:fill="DAEEF3"/>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833"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10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23.53</w:t>
            </w:r>
          </w:p>
        </w:tc>
        <w:tc>
          <w:tcPr>
            <w:tcW w:w="10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94"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58.82</w:t>
            </w:r>
          </w:p>
        </w:tc>
        <w:tc>
          <w:tcPr>
            <w:tcW w:w="709"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18"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11.76</w:t>
            </w:r>
          </w:p>
        </w:tc>
        <w:tc>
          <w:tcPr>
            <w:tcW w:w="9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5.88</w:t>
            </w:r>
          </w:p>
        </w:tc>
        <w:tc>
          <w:tcPr>
            <w:tcW w:w="704"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68"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r>
      <w:tr>
        <w:tblPrEx>
          <w:tblLayout w:type="fixed"/>
          <w:tblCellMar>
            <w:top w:w="0" w:type="dxa"/>
            <w:left w:w="108" w:type="dxa"/>
            <w:bottom w:w="0" w:type="dxa"/>
            <w:right w:w="108" w:type="dxa"/>
          </w:tblCellMar>
        </w:tblPrEx>
        <w:trPr>
          <w:trHeight w:val="300" w:hRule="atLeast"/>
          <w:jc w:val="center"/>
        </w:trPr>
        <w:tc>
          <w:tcPr>
            <w:tcW w:w="1843" w:type="dxa"/>
            <w:vMerge w:val="restart"/>
            <w:tcBorders>
              <w:top w:val="nil"/>
              <w:left w:val="single" w:color="92CDDC" w:sz="8" w:space="0"/>
              <w:bottom w:val="single" w:color="92CDDC" w:sz="8" w:space="0"/>
              <w:right w:val="single" w:color="92CDDC" w:sz="8" w:space="0"/>
            </w:tcBorders>
            <w:shd w:val="clear" w:color="auto" w:fill="auto"/>
            <w:vAlign w:val="center"/>
          </w:tcPr>
          <w:p>
            <w:pPr>
              <w:widowControl/>
              <w:rPr>
                <w:rFonts w:ascii="宋体" w:hAnsi="宋体" w:eastAsia="宋体" w:cs="宋体"/>
                <w:b/>
                <w:bCs/>
                <w:color w:val="000000"/>
                <w:kern w:val="0"/>
                <w:szCs w:val="21"/>
              </w:rPr>
            </w:pPr>
            <w:r>
              <w:rPr>
                <w:rFonts w:hint="eastAsia" w:ascii="宋体" w:hAnsi="宋体" w:eastAsia="宋体" w:cs="宋体"/>
                <w:b/>
                <w:bCs/>
                <w:color w:val="000000"/>
                <w:kern w:val="0"/>
                <w:szCs w:val="21"/>
              </w:rPr>
              <w:t>戏剧影视美术设计(舞台化装)</w:t>
            </w:r>
          </w:p>
        </w:tc>
        <w:tc>
          <w:tcPr>
            <w:tcW w:w="793" w:type="dxa"/>
            <w:tcBorders>
              <w:top w:val="nil"/>
              <w:left w:val="nil"/>
              <w:bottom w:val="single" w:color="92CDDC" w:sz="8" w:space="0"/>
              <w:right w:val="single" w:color="92CDDC" w:sz="8"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人数</w:t>
            </w:r>
          </w:p>
        </w:tc>
        <w:tc>
          <w:tcPr>
            <w:tcW w:w="833"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0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10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794"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15</w:t>
            </w:r>
          </w:p>
        </w:tc>
        <w:tc>
          <w:tcPr>
            <w:tcW w:w="709"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18"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9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04"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68"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r>
      <w:tr>
        <w:tblPrEx>
          <w:tblLayout w:type="fixed"/>
          <w:tblCellMar>
            <w:top w:w="0" w:type="dxa"/>
            <w:left w:w="108" w:type="dxa"/>
            <w:bottom w:w="0" w:type="dxa"/>
            <w:right w:w="108" w:type="dxa"/>
          </w:tblCellMar>
        </w:tblPrEx>
        <w:trPr>
          <w:trHeight w:val="300" w:hRule="atLeast"/>
          <w:jc w:val="center"/>
        </w:trPr>
        <w:tc>
          <w:tcPr>
            <w:tcW w:w="1843" w:type="dxa"/>
            <w:vMerge w:val="continue"/>
            <w:tcBorders>
              <w:top w:val="nil"/>
              <w:left w:val="single" w:color="92CDDC" w:sz="8" w:space="0"/>
              <w:bottom w:val="single" w:color="92CDDC" w:sz="8" w:space="0"/>
              <w:right w:val="single" w:color="92CDDC" w:sz="8" w:space="0"/>
            </w:tcBorders>
            <w:vAlign w:val="center"/>
          </w:tcPr>
          <w:p>
            <w:pPr>
              <w:widowControl/>
              <w:jc w:val="left"/>
              <w:rPr>
                <w:rFonts w:ascii="宋体" w:hAnsi="宋体" w:eastAsia="宋体" w:cs="宋体"/>
                <w:b/>
                <w:bCs/>
                <w:color w:val="000000"/>
                <w:kern w:val="0"/>
                <w:szCs w:val="21"/>
              </w:rPr>
            </w:pPr>
          </w:p>
        </w:tc>
        <w:tc>
          <w:tcPr>
            <w:tcW w:w="793" w:type="dxa"/>
            <w:tcBorders>
              <w:top w:val="nil"/>
              <w:left w:val="nil"/>
              <w:bottom w:val="single" w:color="92CDDC" w:sz="8" w:space="0"/>
              <w:right w:val="single" w:color="92CDDC" w:sz="8" w:space="0"/>
            </w:tcBorders>
            <w:shd w:val="clear" w:color="000000" w:fill="DAEEF3"/>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833"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5.88</w:t>
            </w:r>
          </w:p>
        </w:tc>
        <w:tc>
          <w:tcPr>
            <w:tcW w:w="10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10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5.88</w:t>
            </w:r>
          </w:p>
        </w:tc>
        <w:tc>
          <w:tcPr>
            <w:tcW w:w="794"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88.24</w:t>
            </w:r>
          </w:p>
        </w:tc>
        <w:tc>
          <w:tcPr>
            <w:tcW w:w="709"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18"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9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04"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68"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r>
      <w:tr>
        <w:tblPrEx>
          <w:tblLayout w:type="fixed"/>
          <w:tblCellMar>
            <w:top w:w="0" w:type="dxa"/>
            <w:left w:w="108" w:type="dxa"/>
            <w:bottom w:w="0" w:type="dxa"/>
            <w:right w:w="108" w:type="dxa"/>
          </w:tblCellMar>
        </w:tblPrEx>
        <w:trPr>
          <w:trHeight w:val="300" w:hRule="atLeast"/>
          <w:jc w:val="center"/>
        </w:trPr>
        <w:tc>
          <w:tcPr>
            <w:tcW w:w="1843" w:type="dxa"/>
            <w:vMerge w:val="restart"/>
            <w:tcBorders>
              <w:top w:val="nil"/>
              <w:left w:val="single" w:color="92CDDC" w:sz="8" w:space="0"/>
              <w:bottom w:val="single" w:color="92CDDC" w:sz="8" w:space="0"/>
              <w:right w:val="single" w:color="92CDDC" w:sz="8" w:space="0"/>
            </w:tcBorders>
            <w:shd w:val="clear" w:color="auto" w:fill="auto"/>
            <w:vAlign w:val="center"/>
          </w:tcPr>
          <w:p>
            <w:pPr>
              <w:widowControl/>
              <w:rPr>
                <w:rFonts w:ascii="宋体" w:hAnsi="宋体" w:eastAsia="宋体" w:cs="宋体"/>
                <w:b/>
                <w:bCs/>
                <w:color w:val="000000"/>
                <w:kern w:val="0"/>
                <w:szCs w:val="21"/>
              </w:rPr>
            </w:pPr>
            <w:r>
              <w:rPr>
                <w:rFonts w:hint="eastAsia" w:ascii="宋体" w:hAnsi="宋体" w:eastAsia="宋体" w:cs="宋体"/>
                <w:b/>
                <w:bCs/>
                <w:color w:val="000000"/>
                <w:kern w:val="0"/>
                <w:szCs w:val="21"/>
              </w:rPr>
              <w:t>戏剧影视美术设计(舞台技术)</w:t>
            </w:r>
          </w:p>
        </w:tc>
        <w:tc>
          <w:tcPr>
            <w:tcW w:w="793" w:type="dxa"/>
            <w:tcBorders>
              <w:top w:val="nil"/>
              <w:left w:val="nil"/>
              <w:bottom w:val="single" w:color="92CDDC" w:sz="8" w:space="0"/>
              <w:right w:val="single" w:color="92CDDC" w:sz="8"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人数</w:t>
            </w:r>
          </w:p>
        </w:tc>
        <w:tc>
          <w:tcPr>
            <w:tcW w:w="833"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w:t>
            </w:r>
          </w:p>
        </w:tc>
        <w:tc>
          <w:tcPr>
            <w:tcW w:w="10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w:t>
            </w:r>
          </w:p>
        </w:tc>
        <w:tc>
          <w:tcPr>
            <w:tcW w:w="10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94"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w:t>
            </w:r>
          </w:p>
        </w:tc>
        <w:tc>
          <w:tcPr>
            <w:tcW w:w="709"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18"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9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04"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68"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r>
      <w:tr>
        <w:tblPrEx>
          <w:tblLayout w:type="fixed"/>
          <w:tblCellMar>
            <w:top w:w="0" w:type="dxa"/>
            <w:left w:w="108" w:type="dxa"/>
            <w:bottom w:w="0" w:type="dxa"/>
            <w:right w:w="108" w:type="dxa"/>
          </w:tblCellMar>
        </w:tblPrEx>
        <w:trPr>
          <w:trHeight w:val="300" w:hRule="atLeast"/>
          <w:jc w:val="center"/>
        </w:trPr>
        <w:tc>
          <w:tcPr>
            <w:tcW w:w="1843" w:type="dxa"/>
            <w:vMerge w:val="continue"/>
            <w:tcBorders>
              <w:top w:val="nil"/>
              <w:left w:val="single" w:color="92CDDC" w:sz="8" w:space="0"/>
              <w:bottom w:val="single" w:color="92CDDC" w:sz="8" w:space="0"/>
              <w:right w:val="single" w:color="92CDDC" w:sz="8" w:space="0"/>
            </w:tcBorders>
            <w:vAlign w:val="center"/>
          </w:tcPr>
          <w:p>
            <w:pPr>
              <w:widowControl/>
              <w:jc w:val="left"/>
              <w:rPr>
                <w:rFonts w:ascii="宋体" w:hAnsi="宋体" w:eastAsia="宋体" w:cs="宋体"/>
                <w:b/>
                <w:bCs/>
                <w:color w:val="000000"/>
                <w:kern w:val="0"/>
                <w:szCs w:val="21"/>
              </w:rPr>
            </w:pPr>
          </w:p>
        </w:tc>
        <w:tc>
          <w:tcPr>
            <w:tcW w:w="793" w:type="dxa"/>
            <w:tcBorders>
              <w:top w:val="nil"/>
              <w:left w:val="nil"/>
              <w:bottom w:val="single" w:color="92CDDC" w:sz="8" w:space="0"/>
              <w:right w:val="single" w:color="92CDDC" w:sz="8" w:space="0"/>
            </w:tcBorders>
            <w:shd w:val="clear" w:color="000000" w:fill="DAEEF3"/>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833"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31.25</w:t>
            </w:r>
          </w:p>
        </w:tc>
        <w:tc>
          <w:tcPr>
            <w:tcW w:w="10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31.25</w:t>
            </w:r>
          </w:p>
        </w:tc>
        <w:tc>
          <w:tcPr>
            <w:tcW w:w="10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94"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31.25</w:t>
            </w:r>
          </w:p>
        </w:tc>
        <w:tc>
          <w:tcPr>
            <w:tcW w:w="709"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18"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6.25</w:t>
            </w:r>
          </w:p>
        </w:tc>
        <w:tc>
          <w:tcPr>
            <w:tcW w:w="9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04"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68"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r>
      <w:tr>
        <w:tblPrEx>
          <w:tblLayout w:type="fixed"/>
          <w:tblCellMar>
            <w:top w:w="0" w:type="dxa"/>
            <w:left w:w="108" w:type="dxa"/>
            <w:bottom w:w="0" w:type="dxa"/>
            <w:right w:w="108" w:type="dxa"/>
          </w:tblCellMar>
        </w:tblPrEx>
        <w:trPr>
          <w:trHeight w:val="300" w:hRule="atLeast"/>
          <w:jc w:val="center"/>
        </w:trPr>
        <w:tc>
          <w:tcPr>
            <w:tcW w:w="1843" w:type="dxa"/>
            <w:vMerge w:val="restart"/>
            <w:tcBorders>
              <w:top w:val="nil"/>
              <w:left w:val="single" w:color="92CDDC" w:sz="8" w:space="0"/>
              <w:bottom w:val="single" w:color="92CDDC" w:sz="8" w:space="0"/>
              <w:right w:val="single" w:color="92CDDC" w:sz="8" w:space="0"/>
            </w:tcBorders>
            <w:shd w:val="clear" w:color="auto" w:fill="auto"/>
            <w:vAlign w:val="center"/>
          </w:tcPr>
          <w:p>
            <w:pPr>
              <w:widowControl/>
              <w:rPr>
                <w:rFonts w:ascii="宋体" w:hAnsi="宋体" w:eastAsia="宋体" w:cs="宋体"/>
                <w:b/>
                <w:bCs/>
                <w:color w:val="000000"/>
                <w:kern w:val="0"/>
                <w:szCs w:val="21"/>
              </w:rPr>
            </w:pPr>
            <w:r>
              <w:rPr>
                <w:rFonts w:hint="eastAsia" w:ascii="宋体" w:hAnsi="宋体" w:eastAsia="宋体" w:cs="宋体"/>
                <w:b/>
                <w:bCs/>
                <w:color w:val="000000"/>
                <w:kern w:val="0"/>
                <w:szCs w:val="21"/>
              </w:rPr>
              <w:t>戏剧影视美术设计(舞台设计)</w:t>
            </w:r>
          </w:p>
        </w:tc>
        <w:tc>
          <w:tcPr>
            <w:tcW w:w="793" w:type="dxa"/>
            <w:tcBorders>
              <w:top w:val="nil"/>
              <w:left w:val="nil"/>
              <w:bottom w:val="single" w:color="92CDDC" w:sz="8" w:space="0"/>
              <w:right w:val="single" w:color="92CDDC" w:sz="8"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人数</w:t>
            </w:r>
          </w:p>
        </w:tc>
        <w:tc>
          <w:tcPr>
            <w:tcW w:w="833"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10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10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94"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09"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818"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9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04"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68"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r>
      <w:tr>
        <w:tblPrEx>
          <w:tblLayout w:type="fixed"/>
          <w:tblCellMar>
            <w:top w:w="0" w:type="dxa"/>
            <w:left w:w="108" w:type="dxa"/>
            <w:bottom w:w="0" w:type="dxa"/>
            <w:right w:w="108" w:type="dxa"/>
          </w:tblCellMar>
        </w:tblPrEx>
        <w:trPr>
          <w:trHeight w:val="300" w:hRule="atLeast"/>
          <w:jc w:val="center"/>
        </w:trPr>
        <w:tc>
          <w:tcPr>
            <w:tcW w:w="1843" w:type="dxa"/>
            <w:vMerge w:val="continue"/>
            <w:tcBorders>
              <w:top w:val="nil"/>
              <w:left w:val="single" w:color="92CDDC" w:sz="8" w:space="0"/>
              <w:bottom w:val="single" w:color="92CDDC" w:sz="8" w:space="0"/>
              <w:right w:val="single" w:color="92CDDC" w:sz="8" w:space="0"/>
            </w:tcBorders>
            <w:vAlign w:val="center"/>
          </w:tcPr>
          <w:p>
            <w:pPr>
              <w:widowControl/>
              <w:jc w:val="left"/>
              <w:rPr>
                <w:rFonts w:ascii="宋体" w:hAnsi="宋体" w:eastAsia="宋体" w:cs="宋体"/>
                <w:b/>
                <w:bCs/>
                <w:color w:val="000000"/>
                <w:kern w:val="0"/>
                <w:szCs w:val="21"/>
              </w:rPr>
            </w:pPr>
          </w:p>
        </w:tc>
        <w:tc>
          <w:tcPr>
            <w:tcW w:w="793" w:type="dxa"/>
            <w:tcBorders>
              <w:top w:val="nil"/>
              <w:left w:val="nil"/>
              <w:bottom w:val="single" w:color="92CDDC" w:sz="8" w:space="0"/>
              <w:right w:val="single" w:color="92CDDC" w:sz="8" w:space="0"/>
            </w:tcBorders>
            <w:shd w:val="clear" w:color="000000" w:fill="DAEEF3"/>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833"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10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10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94"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09"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100</w:t>
            </w:r>
          </w:p>
        </w:tc>
        <w:tc>
          <w:tcPr>
            <w:tcW w:w="818"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9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04"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68"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r>
      <w:tr>
        <w:tblPrEx>
          <w:tblLayout w:type="fixed"/>
          <w:tblCellMar>
            <w:top w:w="0" w:type="dxa"/>
            <w:left w:w="108" w:type="dxa"/>
            <w:bottom w:w="0" w:type="dxa"/>
            <w:right w:w="108" w:type="dxa"/>
          </w:tblCellMar>
        </w:tblPrEx>
        <w:trPr>
          <w:trHeight w:val="300" w:hRule="atLeast"/>
          <w:jc w:val="center"/>
        </w:trPr>
        <w:tc>
          <w:tcPr>
            <w:tcW w:w="1843" w:type="dxa"/>
            <w:vMerge w:val="restart"/>
            <w:tcBorders>
              <w:top w:val="nil"/>
              <w:left w:val="single" w:color="92CDDC" w:sz="8" w:space="0"/>
              <w:bottom w:val="single" w:color="92CDDC" w:sz="8" w:space="0"/>
              <w:right w:val="single" w:color="92CDDC" w:sz="8" w:space="0"/>
            </w:tcBorders>
            <w:shd w:val="clear" w:color="auto" w:fill="auto"/>
            <w:vAlign w:val="center"/>
          </w:tcPr>
          <w:p>
            <w:pPr>
              <w:widowControl/>
              <w:rPr>
                <w:rFonts w:ascii="宋体" w:hAnsi="宋体" w:eastAsia="宋体" w:cs="宋体"/>
                <w:b/>
                <w:bCs/>
                <w:color w:val="000000"/>
                <w:kern w:val="0"/>
                <w:szCs w:val="21"/>
              </w:rPr>
            </w:pPr>
            <w:r>
              <w:rPr>
                <w:rFonts w:hint="eastAsia" w:ascii="宋体" w:hAnsi="宋体" w:eastAsia="宋体" w:cs="宋体"/>
                <w:b/>
                <w:bCs/>
                <w:color w:val="000000"/>
                <w:kern w:val="0"/>
                <w:szCs w:val="21"/>
              </w:rPr>
              <w:t>戏剧影视文学(电视剧创作)</w:t>
            </w:r>
          </w:p>
        </w:tc>
        <w:tc>
          <w:tcPr>
            <w:tcW w:w="793" w:type="dxa"/>
            <w:tcBorders>
              <w:top w:val="nil"/>
              <w:left w:val="nil"/>
              <w:bottom w:val="single" w:color="92CDDC" w:sz="8" w:space="0"/>
              <w:right w:val="single" w:color="92CDDC" w:sz="8"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人数</w:t>
            </w:r>
          </w:p>
        </w:tc>
        <w:tc>
          <w:tcPr>
            <w:tcW w:w="833"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10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w:t>
            </w:r>
          </w:p>
        </w:tc>
        <w:tc>
          <w:tcPr>
            <w:tcW w:w="10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94"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7</w:t>
            </w:r>
          </w:p>
        </w:tc>
        <w:tc>
          <w:tcPr>
            <w:tcW w:w="709"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18"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9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704"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68"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r>
      <w:tr>
        <w:tblPrEx>
          <w:tblLayout w:type="fixed"/>
          <w:tblCellMar>
            <w:top w:w="0" w:type="dxa"/>
            <w:left w:w="108" w:type="dxa"/>
            <w:bottom w:w="0" w:type="dxa"/>
            <w:right w:w="108" w:type="dxa"/>
          </w:tblCellMar>
        </w:tblPrEx>
        <w:trPr>
          <w:trHeight w:val="300" w:hRule="atLeast"/>
          <w:jc w:val="center"/>
        </w:trPr>
        <w:tc>
          <w:tcPr>
            <w:tcW w:w="1843" w:type="dxa"/>
            <w:vMerge w:val="continue"/>
            <w:tcBorders>
              <w:top w:val="nil"/>
              <w:left w:val="single" w:color="92CDDC" w:sz="8" w:space="0"/>
              <w:bottom w:val="single" w:color="92CDDC" w:sz="8" w:space="0"/>
              <w:right w:val="single" w:color="92CDDC" w:sz="8" w:space="0"/>
            </w:tcBorders>
            <w:vAlign w:val="center"/>
          </w:tcPr>
          <w:p>
            <w:pPr>
              <w:widowControl/>
              <w:jc w:val="left"/>
              <w:rPr>
                <w:rFonts w:ascii="宋体" w:hAnsi="宋体" w:eastAsia="宋体" w:cs="宋体"/>
                <w:b/>
                <w:bCs/>
                <w:color w:val="000000"/>
                <w:kern w:val="0"/>
                <w:szCs w:val="21"/>
              </w:rPr>
            </w:pPr>
          </w:p>
        </w:tc>
        <w:tc>
          <w:tcPr>
            <w:tcW w:w="793" w:type="dxa"/>
            <w:tcBorders>
              <w:top w:val="nil"/>
              <w:left w:val="nil"/>
              <w:bottom w:val="single" w:color="92CDDC" w:sz="8" w:space="0"/>
              <w:right w:val="single" w:color="92CDDC" w:sz="8" w:space="0"/>
            </w:tcBorders>
            <w:shd w:val="clear" w:color="000000" w:fill="DAEEF3"/>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833"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10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30.77</w:t>
            </w:r>
          </w:p>
        </w:tc>
        <w:tc>
          <w:tcPr>
            <w:tcW w:w="10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94"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53.85</w:t>
            </w:r>
          </w:p>
        </w:tc>
        <w:tc>
          <w:tcPr>
            <w:tcW w:w="709"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18"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7.69</w:t>
            </w:r>
          </w:p>
        </w:tc>
        <w:tc>
          <w:tcPr>
            <w:tcW w:w="9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7.69</w:t>
            </w:r>
          </w:p>
        </w:tc>
        <w:tc>
          <w:tcPr>
            <w:tcW w:w="704"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68"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r>
      <w:tr>
        <w:tblPrEx>
          <w:tblLayout w:type="fixed"/>
          <w:tblCellMar>
            <w:top w:w="0" w:type="dxa"/>
            <w:left w:w="108" w:type="dxa"/>
            <w:bottom w:w="0" w:type="dxa"/>
            <w:right w:w="108" w:type="dxa"/>
          </w:tblCellMar>
        </w:tblPrEx>
        <w:trPr>
          <w:trHeight w:val="300" w:hRule="atLeast"/>
          <w:jc w:val="center"/>
        </w:trPr>
        <w:tc>
          <w:tcPr>
            <w:tcW w:w="1843" w:type="dxa"/>
            <w:vMerge w:val="restart"/>
            <w:tcBorders>
              <w:top w:val="nil"/>
              <w:left w:val="single" w:color="92CDDC" w:sz="8" w:space="0"/>
              <w:bottom w:val="single" w:color="92CDDC" w:sz="8" w:space="0"/>
              <w:right w:val="single" w:color="92CDDC" w:sz="8" w:space="0"/>
            </w:tcBorders>
            <w:shd w:val="clear" w:color="auto" w:fill="auto"/>
            <w:vAlign w:val="center"/>
          </w:tcPr>
          <w:p>
            <w:pPr>
              <w:widowControl/>
              <w:rPr>
                <w:rFonts w:ascii="宋体" w:hAnsi="宋体" w:eastAsia="宋体" w:cs="宋体"/>
                <w:b/>
                <w:bCs/>
                <w:color w:val="000000"/>
                <w:kern w:val="0"/>
                <w:szCs w:val="21"/>
              </w:rPr>
            </w:pPr>
            <w:r>
              <w:rPr>
                <w:rFonts w:hint="eastAsia" w:ascii="宋体" w:hAnsi="宋体" w:eastAsia="宋体" w:cs="宋体"/>
                <w:b/>
                <w:bCs/>
                <w:color w:val="000000"/>
                <w:kern w:val="0"/>
                <w:szCs w:val="21"/>
              </w:rPr>
              <w:t>戏剧与影视学</w:t>
            </w:r>
          </w:p>
        </w:tc>
        <w:tc>
          <w:tcPr>
            <w:tcW w:w="793" w:type="dxa"/>
            <w:tcBorders>
              <w:top w:val="nil"/>
              <w:left w:val="nil"/>
              <w:bottom w:val="single" w:color="92CDDC" w:sz="8" w:space="0"/>
              <w:right w:val="single" w:color="92CDDC" w:sz="8"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人数</w:t>
            </w:r>
          </w:p>
        </w:tc>
        <w:tc>
          <w:tcPr>
            <w:tcW w:w="833"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w:t>
            </w:r>
          </w:p>
        </w:tc>
        <w:tc>
          <w:tcPr>
            <w:tcW w:w="10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6</w:t>
            </w:r>
          </w:p>
        </w:tc>
        <w:tc>
          <w:tcPr>
            <w:tcW w:w="10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8</w:t>
            </w:r>
          </w:p>
        </w:tc>
        <w:tc>
          <w:tcPr>
            <w:tcW w:w="794"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18</w:t>
            </w:r>
          </w:p>
        </w:tc>
        <w:tc>
          <w:tcPr>
            <w:tcW w:w="709"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818"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w:t>
            </w:r>
          </w:p>
        </w:tc>
        <w:tc>
          <w:tcPr>
            <w:tcW w:w="9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704"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68"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r>
      <w:tr>
        <w:tblPrEx>
          <w:tblLayout w:type="fixed"/>
          <w:tblCellMar>
            <w:top w:w="0" w:type="dxa"/>
            <w:left w:w="108" w:type="dxa"/>
            <w:bottom w:w="0" w:type="dxa"/>
            <w:right w:w="108" w:type="dxa"/>
          </w:tblCellMar>
        </w:tblPrEx>
        <w:trPr>
          <w:trHeight w:val="300" w:hRule="atLeast"/>
          <w:jc w:val="center"/>
        </w:trPr>
        <w:tc>
          <w:tcPr>
            <w:tcW w:w="1843" w:type="dxa"/>
            <w:vMerge w:val="continue"/>
            <w:tcBorders>
              <w:top w:val="nil"/>
              <w:left w:val="single" w:color="92CDDC" w:sz="8" w:space="0"/>
              <w:bottom w:val="single" w:color="92CDDC" w:sz="8" w:space="0"/>
              <w:right w:val="single" w:color="92CDDC" w:sz="8" w:space="0"/>
            </w:tcBorders>
            <w:vAlign w:val="center"/>
          </w:tcPr>
          <w:p>
            <w:pPr>
              <w:widowControl/>
              <w:jc w:val="left"/>
              <w:rPr>
                <w:rFonts w:ascii="宋体" w:hAnsi="宋体" w:eastAsia="宋体" w:cs="宋体"/>
                <w:b/>
                <w:bCs/>
                <w:color w:val="000000"/>
                <w:kern w:val="0"/>
                <w:szCs w:val="21"/>
              </w:rPr>
            </w:pPr>
          </w:p>
        </w:tc>
        <w:tc>
          <w:tcPr>
            <w:tcW w:w="793" w:type="dxa"/>
            <w:tcBorders>
              <w:top w:val="nil"/>
              <w:left w:val="nil"/>
              <w:bottom w:val="single" w:color="92CDDC" w:sz="8" w:space="0"/>
              <w:right w:val="single" w:color="92CDDC" w:sz="8" w:space="0"/>
            </w:tcBorders>
            <w:shd w:val="clear" w:color="000000" w:fill="DAEEF3"/>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833"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34.48</w:t>
            </w:r>
          </w:p>
        </w:tc>
        <w:tc>
          <w:tcPr>
            <w:tcW w:w="10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10.34</w:t>
            </w:r>
          </w:p>
        </w:tc>
        <w:tc>
          <w:tcPr>
            <w:tcW w:w="10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13.79</w:t>
            </w:r>
          </w:p>
        </w:tc>
        <w:tc>
          <w:tcPr>
            <w:tcW w:w="794"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31.03</w:t>
            </w:r>
          </w:p>
        </w:tc>
        <w:tc>
          <w:tcPr>
            <w:tcW w:w="709"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1.72</w:t>
            </w:r>
          </w:p>
        </w:tc>
        <w:tc>
          <w:tcPr>
            <w:tcW w:w="818"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6.9</w:t>
            </w:r>
          </w:p>
        </w:tc>
        <w:tc>
          <w:tcPr>
            <w:tcW w:w="9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1.72</w:t>
            </w:r>
          </w:p>
        </w:tc>
        <w:tc>
          <w:tcPr>
            <w:tcW w:w="704"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68"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r>
      <w:tr>
        <w:tblPrEx>
          <w:tblLayout w:type="fixed"/>
          <w:tblCellMar>
            <w:top w:w="0" w:type="dxa"/>
            <w:left w:w="108" w:type="dxa"/>
            <w:bottom w:w="0" w:type="dxa"/>
            <w:right w:w="108" w:type="dxa"/>
          </w:tblCellMar>
        </w:tblPrEx>
        <w:trPr>
          <w:trHeight w:val="300" w:hRule="atLeast"/>
          <w:jc w:val="center"/>
        </w:trPr>
        <w:tc>
          <w:tcPr>
            <w:tcW w:w="1843" w:type="dxa"/>
            <w:vMerge w:val="restart"/>
            <w:tcBorders>
              <w:top w:val="nil"/>
              <w:left w:val="single" w:color="92CDDC" w:sz="8" w:space="0"/>
              <w:bottom w:val="single" w:color="92CDDC" w:sz="8" w:space="0"/>
              <w:right w:val="single" w:color="92CDDC" w:sz="8" w:space="0"/>
            </w:tcBorders>
            <w:shd w:val="clear" w:color="auto" w:fill="auto"/>
            <w:vAlign w:val="center"/>
          </w:tcPr>
          <w:p>
            <w:pPr>
              <w:widowControl/>
              <w:rPr>
                <w:rFonts w:ascii="宋体" w:hAnsi="宋体" w:eastAsia="宋体" w:cs="宋体"/>
                <w:b/>
                <w:bCs/>
                <w:color w:val="000000"/>
                <w:kern w:val="0"/>
                <w:szCs w:val="21"/>
              </w:rPr>
            </w:pPr>
            <w:r>
              <w:rPr>
                <w:rFonts w:hint="eastAsia" w:ascii="宋体" w:hAnsi="宋体" w:eastAsia="宋体" w:cs="宋体"/>
                <w:b/>
                <w:bCs/>
                <w:color w:val="000000"/>
                <w:kern w:val="0"/>
                <w:szCs w:val="21"/>
              </w:rPr>
              <w:t>艺术学理论</w:t>
            </w:r>
          </w:p>
        </w:tc>
        <w:tc>
          <w:tcPr>
            <w:tcW w:w="793" w:type="dxa"/>
            <w:tcBorders>
              <w:top w:val="nil"/>
              <w:left w:val="nil"/>
              <w:bottom w:val="single" w:color="92CDDC" w:sz="8" w:space="0"/>
              <w:right w:val="single" w:color="92CDDC" w:sz="8"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人数</w:t>
            </w:r>
          </w:p>
        </w:tc>
        <w:tc>
          <w:tcPr>
            <w:tcW w:w="833"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8</w:t>
            </w:r>
          </w:p>
        </w:tc>
        <w:tc>
          <w:tcPr>
            <w:tcW w:w="10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10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w:t>
            </w:r>
          </w:p>
        </w:tc>
        <w:tc>
          <w:tcPr>
            <w:tcW w:w="794"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w:t>
            </w:r>
          </w:p>
        </w:tc>
        <w:tc>
          <w:tcPr>
            <w:tcW w:w="709"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18"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w:t>
            </w:r>
          </w:p>
        </w:tc>
        <w:tc>
          <w:tcPr>
            <w:tcW w:w="955"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04"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68" w:type="dxa"/>
            <w:tcBorders>
              <w:top w:val="nil"/>
              <w:left w:val="nil"/>
              <w:bottom w:val="single" w:color="92CDDC" w:sz="8" w:space="0"/>
              <w:right w:val="single" w:color="92CDDC" w:sz="8"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r>
      <w:tr>
        <w:tblPrEx>
          <w:tblLayout w:type="fixed"/>
          <w:tblCellMar>
            <w:top w:w="0" w:type="dxa"/>
            <w:left w:w="108" w:type="dxa"/>
            <w:bottom w:w="0" w:type="dxa"/>
            <w:right w:w="108" w:type="dxa"/>
          </w:tblCellMar>
        </w:tblPrEx>
        <w:trPr>
          <w:trHeight w:val="300" w:hRule="atLeast"/>
          <w:jc w:val="center"/>
        </w:trPr>
        <w:tc>
          <w:tcPr>
            <w:tcW w:w="1843" w:type="dxa"/>
            <w:vMerge w:val="continue"/>
            <w:tcBorders>
              <w:top w:val="nil"/>
              <w:left w:val="single" w:color="92CDDC" w:sz="8" w:space="0"/>
              <w:bottom w:val="single" w:color="92CDDC" w:sz="8" w:space="0"/>
              <w:right w:val="single" w:color="92CDDC" w:sz="8" w:space="0"/>
            </w:tcBorders>
            <w:vAlign w:val="center"/>
          </w:tcPr>
          <w:p>
            <w:pPr>
              <w:widowControl/>
              <w:jc w:val="left"/>
              <w:rPr>
                <w:rFonts w:ascii="宋体" w:hAnsi="宋体" w:eastAsia="宋体" w:cs="宋体"/>
                <w:b/>
                <w:bCs/>
                <w:color w:val="000000"/>
                <w:kern w:val="0"/>
                <w:szCs w:val="21"/>
              </w:rPr>
            </w:pPr>
          </w:p>
        </w:tc>
        <w:tc>
          <w:tcPr>
            <w:tcW w:w="793" w:type="dxa"/>
            <w:tcBorders>
              <w:top w:val="nil"/>
              <w:left w:val="nil"/>
              <w:bottom w:val="single" w:color="92CDDC" w:sz="8" w:space="0"/>
              <w:right w:val="single" w:color="92CDDC" w:sz="8" w:space="0"/>
            </w:tcBorders>
            <w:shd w:val="clear" w:color="000000" w:fill="DAEEF3"/>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833"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50</w:t>
            </w:r>
          </w:p>
        </w:tc>
        <w:tc>
          <w:tcPr>
            <w:tcW w:w="10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6.25</w:t>
            </w:r>
          </w:p>
        </w:tc>
        <w:tc>
          <w:tcPr>
            <w:tcW w:w="10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18.75</w:t>
            </w:r>
          </w:p>
        </w:tc>
        <w:tc>
          <w:tcPr>
            <w:tcW w:w="794"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18.75</w:t>
            </w:r>
          </w:p>
        </w:tc>
        <w:tc>
          <w:tcPr>
            <w:tcW w:w="709"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18"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6.25</w:t>
            </w:r>
          </w:p>
        </w:tc>
        <w:tc>
          <w:tcPr>
            <w:tcW w:w="955"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704"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c>
          <w:tcPr>
            <w:tcW w:w="868" w:type="dxa"/>
            <w:tcBorders>
              <w:top w:val="nil"/>
              <w:left w:val="nil"/>
              <w:bottom w:val="single" w:color="92CDDC" w:sz="8" w:space="0"/>
              <w:right w:val="single" w:color="92CDDC" w:sz="8" w:space="0"/>
            </w:tcBorders>
            <w:shd w:val="clear" w:color="000000" w:fill="DAEEF3"/>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w:t>
            </w:r>
          </w:p>
        </w:tc>
      </w:tr>
    </w:tbl>
    <w:p/>
    <w:p>
      <w:pPr>
        <w:topLinePunct/>
        <w:spacing w:before="156" w:beforeLines="50" w:after="156" w:afterLines="50"/>
        <w:ind w:left="120" w:leftChars="50"/>
        <w:outlineLvl w:val="2"/>
        <w:rPr>
          <w:rFonts w:eastAsia="宋体"/>
          <w:b/>
          <w:color w:val="31849B" w:themeColor="accent5" w:themeShade="BF"/>
          <w:sz w:val="28"/>
          <w:szCs w:val="28"/>
        </w:rPr>
      </w:pPr>
      <w:bookmarkStart w:id="72" w:name="_Toc485713521"/>
      <w:r>
        <w:rPr>
          <w:rFonts w:hint="eastAsia" w:eastAsia="宋体"/>
          <w:b/>
          <w:color w:val="31849B" w:themeColor="accent5" w:themeShade="BF"/>
          <w:sz w:val="28"/>
          <w:szCs w:val="28"/>
        </w:rPr>
        <w:t>（二）就业地区分布</w:t>
      </w:r>
      <w:bookmarkEnd w:id="72"/>
    </w:p>
    <w:p>
      <w:pPr>
        <w:pStyle w:val="123"/>
        <w:ind w:firstLine="480"/>
      </w:pPr>
      <w:r>
        <w:rPr>
          <w:rFonts w:hint="eastAsia"/>
        </w:rPr>
        <w:t>就业数据显示，</w:t>
      </w:r>
      <w:bookmarkStart w:id="73" w:name="PO_222A"/>
      <w:bookmarkEnd w:id="73"/>
      <w:r>
        <w:rPr>
          <w:rFonts w:hint="eastAsia"/>
        </w:rPr>
        <w:t>65.60%的毕业生落实在北京工作。从地理位置看</w:t>
      </w:r>
      <w:r>
        <w:rPr>
          <w:rStyle w:val="31"/>
        </w:rPr>
        <w:footnoteReference w:id="0"/>
      </w:r>
      <w:r>
        <w:rPr>
          <w:rFonts w:hint="eastAsia"/>
        </w:rPr>
        <w:t>，</w:t>
      </w:r>
      <w:bookmarkStart w:id="74" w:name="PO_222B"/>
      <w:bookmarkEnd w:id="74"/>
      <w:r>
        <w:rPr>
          <w:rFonts w:hint="eastAsia"/>
        </w:rPr>
        <w:t>京外就业的毕业生最主要选择在东部地区（26.13%）；从经济区域看</w:t>
      </w:r>
      <w:r>
        <w:rPr>
          <w:rStyle w:val="31"/>
        </w:rPr>
        <w:footnoteReference w:id="1"/>
      </w:r>
      <w:r>
        <w:rPr>
          <w:rFonts w:hint="eastAsia"/>
        </w:rPr>
        <w:t>，</w:t>
      </w:r>
      <w:bookmarkStart w:id="75" w:name="PO_222C"/>
      <w:bookmarkEnd w:id="75"/>
      <w:r>
        <w:rPr>
          <w:rFonts w:hint="eastAsia"/>
        </w:rPr>
        <w:t>京外就业的毕业生最主要选择在东部沿海经济区（13.87%）。总体来看，本校毕业生多数选择在经济发达地区工作发展。</w:t>
      </w:r>
    </w:p>
    <w:p>
      <w:pPr>
        <w:pStyle w:val="123"/>
        <w:ind w:firstLine="480"/>
      </w:pPr>
      <w:r>
        <w:rPr>
          <w:rFonts w:hint="eastAsia"/>
        </w:rPr>
        <w:t>具体从学历层次来看，</w:t>
      </w:r>
      <w:bookmarkStart w:id="76" w:name="PO_222D"/>
      <w:bookmarkEnd w:id="76"/>
      <w:bookmarkStart w:id="77" w:name="PO_222E"/>
      <w:bookmarkEnd w:id="77"/>
      <w:r>
        <w:rPr>
          <w:rFonts w:hint="eastAsia"/>
        </w:rPr>
        <w:t xml:space="preserve">65.82%的本科生选择在北京就业，其次选择在东部地区（26.18%）。 </w:t>
      </w:r>
      <w:bookmarkStart w:id="78" w:name="PO_222F"/>
      <w:bookmarkEnd w:id="78"/>
      <w:r>
        <w:rPr>
          <w:rFonts w:hint="eastAsia"/>
        </w:rPr>
        <w:t xml:space="preserve">67.50%的硕士生选择在北京就业，其次选择在东部地区（23.75%）。 </w:t>
      </w:r>
      <w:bookmarkStart w:id="79" w:name="PO_222G"/>
      <w:bookmarkEnd w:id="79"/>
      <w:r>
        <w:rPr>
          <w:rFonts w:hint="eastAsia"/>
        </w:rPr>
        <w:t>55.00%的博士生选择在北京就业，其次选择在东部地区（35.00%）。</w:t>
      </w:r>
    </w:p>
    <w:p>
      <w:pPr>
        <w:jc w:val="center"/>
      </w:pPr>
      <w:bookmarkStart w:id="80" w:name="PO_222H"/>
      <w:bookmarkEnd w:id="80"/>
      <w:r>
        <w:drawing>
          <wp:inline distT="0" distB="0" distL="0" distR="0">
            <wp:extent cx="5274310" cy="2875915"/>
            <wp:effectExtent l="19050" t="0" r="21590" b="557"/>
            <wp:docPr id="450" name="图表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107"/>
        <w:adjustRightInd/>
        <w:snapToGrid/>
        <w:spacing w:before="156" w:after="312"/>
        <w:ind w:left="420" w:hanging="420"/>
      </w:pPr>
      <w:r>
        <w:rPr>
          <w:rFonts w:hint="eastAsia"/>
        </w:rPr>
        <w:t>落实就业地区分布（1）</w:t>
      </w:r>
    </w:p>
    <w:p>
      <w:pPr>
        <w:topLinePunct/>
        <w:spacing w:line="360" w:lineRule="auto"/>
        <w:ind w:firstLine="480" w:firstLineChars="200"/>
        <w:rPr>
          <w:rFonts w:ascii="Times New Roman" w:hAnsi="Times New Roman" w:eastAsia="宋体"/>
          <w:szCs w:val="24"/>
        </w:rPr>
      </w:pPr>
    </w:p>
    <w:p>
      <w:pPr>
        <w:jc w:val="center"/>
      </w:pPr>
      <w:bookmarkStart w:id="81" w:name="PO_222I"/>
      <w:bookmarkEnd w:id="81"/>
      <w:r>
        <w:drawing>
          <wp:inline distT="0" distB="0" distL="0" distR="0">
            <wp:extent cx="5274310" cy="2875915"/>
            <wp:effectExtent l="19050" t="0" r="21590" b="557"/>
            <wp:docPr id="468" name="图表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107"/>
        <w:adjustRightInd/>
        <w:snapToGrid/>
        <w:spacing w:before="156" w:after="312"/>
        <w:ind w:left="420" w:hanging="420"/>
      </w:pPr>
      <w:r>
        <w:rPr>
          <w:rFonts w:hint="eastAsia"/>
        </w:rPr>
        <w:t>落实就业地区分布（2）</w:t>
      </w:r>
    </w:p>
    <w:p>
      <w:pPr>
        <w:topLinePunct/>
        <w:spacing w:line="360" w:lineRule="auto"/>
        <w:ind w:firstLine="480" w:firstLineChars="200"/>
        <w:rPr>
          <w:rFonts w:ascii="Times New Roman" w:hAnsi="Times New Roman" w:eastAsia="宋体"/>
          <w:szCs w:val="24"/>
        </w:rPr>
      </w:pPr>
    </w:p>
    <w:p>
      <w:pPr>
        <w:pStyle w:val="49"/>
        <w:spacing w:before="156" w:after="156"/>
        <w:ind w:left="120"/>
      </w:pPr>
      <w:bookmarkStart w:id="82" w:name="_Toc485713522"/>
      <w:r>
        <w:rPr>
          <w:rFonts w:hint="eastAsia"/>
        </w:rPr>
        <w:t>（三）就业单位类型分布</w:t>
      </w:r>
      <w:bookmarkEnd w:id="82"/>
    </w:p>
    <w:p>
      <w:pPr>
        <w:pStyle w:val="123"/>
        <w:ind w:firstLine="480"/>
      </w:pPr>
      <w:r>
        <w:rPr>
          <w:rFonts w:hint="eastAsia"/>
        </w:rPr>
        <w:t>就单位类型而言，本校毕业生落实就业比例较高的单位类型依次为：</w:t>
      </w:r>
      <w:bookmarkStart w:id="83" w:name="PO_223A"/>
      <w:bookmarkEnd w:id="83"/>
      <w:r>
        <w:rPr>
          <w:rFonts w:hint="eastAsia"/>
        </w:rPr>
        <w:t>其他企业(民营/私营企业等)（25.33%）、其他事业单位（13.33%）、高等教育单位（6.67%）。</w:t>
      </w:r>
    </w:p>
    <w:p>
      <w:pPr>
        <w:pStyle w:val="123"/>
        <w:ind w:firstLine="480"/>
      </w:pPr>
      <w:r>
        <w:rPr>
          <w:rFonts w:hint="eastAsia"/>
        </w:rPr>
        <w:t>从学历层次看，</w:t>
      </w:r>
      <w:bookmarkStart w:id="84" w:name="PO_223C"/>
      <w:bookmarkEnd w:id="84"/>
      <w:bookmarkStart w:id="85" w:name="PO_223B"/>
      <w:bookmarkEnd w:id="85"/>
      <w:r>
        <w:rPr>
          <w:rFonts w:hint="eastAsia"/>
        </w:rPr>
        <w:t xml:space="preserve">本科生最主要落实的单位类型依次为其他企业(民营/私营企业等)（28.36%）、其他事业单位（9.82%）、高等教育单位（0.36%）。 </w:t>
      </w:r>
      <w:bookmarkStart w:id="86" w:name="PO_223D"/>
      <w:bookmarkEnd w:id="86"/>
      <w:r>
        <w:rPr>
          <w:rFonts w:hint="eastAsia"/>
        </w:rPr>
        <w:t xml:space="preserve">硕士生最主要落实的单位类型依次为其他企业(民营/私营企业等)（20.00%）、高等教育单位（17.50%）、其他事业单位（17.50%）。 </w:t>
      </w:r>
      <w:bookmarkStart w:id="87" w:name="PO_223E"/>
      <w:bookmarkEnd w:id="87"/>
      <w:r>
        <w:rPr>
          <w:rFonts w:hint="eastAsia"/>
        </w:rPr>
        <w:t>博士生最主要落实的单位类型依次为高等教育单位（50.00%）、其他事业单位（45.00%）、其他企业(民营/私营企业等)（5.00%）。</w:t>
      </w:r>
    </w:p>
    <w:p>
      <w:pPr>
        <w:jc w:val="center"/>
      </w:pPr>
      <w:bookmarkStart w:id="88" w:name="PO_223F"/>
      <w:bookmarkEnd w:id="88"/>
      <w:r>
        <w:drawing>
          <wp:inline distT="0" distB="0" distL="0" distR="0">
            <wp:extent cx="5886450" cy="3257550"/>
            <wp:effectExtent l="0" t="0" r="0" b="0"/>
            <wp:docPr id="470" name="图表 4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107"/>
        <w:adjustRightInd/>
        <w:snapToGrid/>
        <w:spacing w:before="156" w:after="312"/>
        <w:ind w:left="420" w:hanging="420"/>
      </w:pPr>
      <w:r>
        <w:rPr>
          <w:rFonts w:hint="eastAsia"/>
        </w:rPr>
        <w:t>落实就业单位类型分布</w:t>
      </w:r>
    </w:p>
    <w:p>
      <w:pPr>
        <w:pStyle w:val="49"/>
        <w:spacing w:before="156" w:after="156"/>
        <w:ind w:left="120"/>
      </w:pPr>
      <w:bookmarkStart w:id="89" w:name="_Toc485713523"/>
      <w:r>
        <w:rPr>
          <w:rFonts w:hint="eastAsia"/>
        </w:rPr>
        <w:t>（四）就业行业分布</w:t>
      </w:r>
      <w:bookmarkEnd w:id="89"/>
    </w:p>
    <w:p>
      <w:pPr>
        <w:pStyle w:val="123"/>
        <w:ind w:firstLine="480"/>
      </w:pPr>
      <w:r>
        <w:rPr>
          <w:rFonts w:hint="eastAsia"/>
        </w:rPr>
        <w:t>就行业而言，本校毕业生落实就业比例较高的前三个行业依次为：</w:t>
      </w:r>
      <w:bookmarkStart w:id="90" w:name="PO_224A"/>
      <w:bookmarkEnd w:id="90"/>
      <w:r>
        <w:rPr>
          <w:rFonts w:hint="eastAsia"/>
        </w:rPr>
        <w:t>文化、体育和娱乐业（30.40%）、教育（10.40%）、公共管理、社会保障和社会组织（4.27%）。</w:t>
      </w:r>
    </w:p>
    <w:p>
      <w:pPr>
        <w:pStyle w:val="123"/>
        <w:ind w:firstLine="480"/>
      </w:pPr>
      <w:r>
        <w:rPr>
          <w:rFonts w:hint="eastAsia"/>
        </w:rPr>
        <w:t>从学历层次看，</w:t>
      </w:r>
      <w:bookmarkStart w:id="91" w:name="PO_224C"/>
      <w:bookmarkEnd w:id="91"/>
      <w:bookmarkStart w:id="92" w:name="PO_224B"/>
      <w:bookmarkEnd w:id="92"/>
      <w:r>
        <w:rPr>
          <w:rFonts w:hint="eastAsia"/>
        </w:rPr>
        <w:t xml:space="preserve">本科生最主要落实的就业行业依次为文化、体育和娱乐业（29.82%）、公共管理、社会保障和社会组织（5.09%）、教育（4.00%）。 </w:t>
      </w:r>
      <w:bookmarkStart w:id="93" w:name="PO_224D"/>
      <w:bookmarkEnd w:id="93"/>
      <w:r>
        <w:rPr>
          <w:rFonts w:hint="eastAsia"/>
        </w:rPr>
        <w:t xml:space="preserve">硕士生最主要落实的就业行业依次为文化、体育和娱乐业（31.25%）、教育（20.00%）、居民服务、修理和其他服务业（5.00%）。 </w:t>
      </w:r>
      <w:bookmarkStart w:id="94" w:name="PO_224E"/>
      <w:bookmarkEnd w:id="94"/>
      <w:r>
        <w:rPr>
          <w:rFonts w:hint="eastAsia"/>
        </w:rPr>
        <w:t>博士生最主要落实的就业行业依次为教育（60.00%）、文化、体育和娱乐业（35.00%）、卫生和社会工作（5.00%）。</w:t>
      </w:r>
    </w:p>
    <w:p>
      <w:pPr>
        <w:jc w:val="center"/>
      </w:pPr>
      <w:bookmarkStart w:id="95" w:name="PO_224F"/>
      <w:bookmarkEnd w:id="95"/>
      <w:r>
        <w:drawing>
          <wp:inline distT="0" distB="0" distL="0" distR="0">
            <wp:extent cx="6191250" cy="3638550"/>
            <wp:effectExtent l="0" t="0" r="0" b="0"/>
            <wp:docPr id="471" name="图表 4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107"/>
        <w:adjustRightInd/>
        <w:snapToGrid/>
        <w:spacing w:before="156" w:after="312"/>
        <w:ind w:left="420" w:hanging="420"/>
      </w:pPr>
      <w:r>
        <w:rPr>
          <w:rFonts w:hint="eastAsia"/>
        </w:rPr>
        <w:t>落实就业行业分布</w:t>
      </w:r>
    </w:p>
    <w:p>
      <w:pPr>
        <w:pStyle w:val="41"/>
        <w:ind w:firstLine="480"/>
      </w:pPr>
    </w:p>
    <w:p>
      <w:pPr>
        <w:pStyle w:val="49"/>
        <w:spacing w:before="156" w:after="156"/>
        <w:ind w:left="120"/>
      </w:pPr>
      <w:r>
        <w:rPr>
          <w:rFonts w:hint="eastAsia"/>
        </w:rPr>
        <w:t>（五）国内升学情况</w:t>
      </w:r>
    </w:p>
    <w:p>
      <w:pPr>
        <w:pStyle w:val="123"/>
        <w:ind w:firstLine="480"/>
      </w:pPr>
      <w:r>
        <w:rPr>
          <w:rFonts w:hint="eastAsia"/>
        </w:rPr>
        <w:t>本校2017届毕业生国内升学人数共</w:t>
      </w:r>
      <w:bookmarkStart w:id="96" w:name="PO_225A"/>
      <w:bookmarkEnd w:id="96"/>
      <w:r>
        <w:rPr>
          <w:rFonts w:hint="eastAsia"/>
        </w:rPr>
        <w:t>39人，占比9.01%。毕业生升学所选高校主要集中在</w:t>
      </w:r>
      <w:bookmarkStart w:id="97" w:name="PO_225B"/>
      <w:bookmarkEnd w:id="97"/>
      <w:r>
        <w:rPr>
          <w:rFonts w:hint="eastAsia"/>
        </w:rPr>
        <w:t>中央戏剧学院（82.05%）、中国戏曲学院（7.69%）、北京电影学院（5.13%）。</w:t>
      </w:r>
    </w:p>
    <w:p>
      <w:pPr>
        <w:jc w:val="center"/>
      </w:pPr>
      <w:bookmarkStart w:id="98" w:name="PO_225C"/>
      <w:bookmarkEnd w:id="98"/>
      <w:r>
        <w:rPr>
          <w:rFonts w:hint="eastAsia"/>
        </w:rPr>
        <w:drawing>
          <wp:inline distT="0" distB="0" distL="0" distR="0">
            <wp:extent cx="5274310" cy="2305050"/>
            <wp:effectExtent l="0" t="0" r="0" b="0"/>
            <wp:docPr id="472" name="图表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107"/>
        <w:adjustRightInd/>
        <w:snapToGrid/>
        <w:spacing w:before="156" w:after="312"/>
        <w:ind w:left="420" w:hanging="420"/>
      </w:pPr>
      <w:r>
        <w:rPr>
          <w:rFonts w:hint="eastAsia"/>
        </w:rPr>
        <w:t>毕业生国内升学情况</w:t>
      </w:r>
    </w:p>
    <w:p>
      <w:pPr>
        <w:pStyle w:val="123"/>
        <w:ind w:firstLine="480"/>
      </w:pPr>
      <w:bookmarkStart w:id="99" w:name="PO_225D"/>
      <w:bookmarkEnd w:id="99"/>
    </w:p>
    <w:p>
      <w:pPr>
        <w:pStyle w:val="49"/>
        <w:spacing w:before="156" w:after="156"/>
        <w:ind w:left="120"/>
      </w:pPr>
      <w:r>
        <w:rPr>
          <w:rFonts w:hint="eastAsia"/>
        </w:rPr>
        <w:t>（六）出国（境）留学情况</w:t>
      </w:r>
    </w:p>
    <w:p>
      <w:pPr>
        <w:pStyle w:val="123"/>
        <w:ind w:firstLine="480"/>
      </w:pPr>
      <w:r>
        <w:rPr>
          <w:rFonts w:hint="eastAsia"/>
        </w:rPr>
        <w:t>本校2017届毕业生出国（境）留学人数为</w:t>
      </w:r>
      <w:bookmarkStart w:id="100" w:name="PO_226A"/>
      <w:bookmarkEnd w:id="100"/>
      <w:r>
        <w:rPr>
          <w:rFonts w:hint="eastAsia"/>
        </w:rPr>
        <w:t>10人，占比2.31%。毕业生留学首选目标国家主要依次为</w:t>
      </w:r>
      <w:bookmarkStart w:id="101" w:name="PO_226B"/>
      <w:bookmarkEnd w:id="101"/>
      <w:r>
        <w:rPr>
          <w:rFonts w:hint="eastAsia"/>
        </w:rPr>
        <w:t>英国（60.00%）、香港（30.00%）、美国（10.00%）。</w:t>
      </w:r>
    </w:p>
    <w:p>
      <w:pPr>
        <w:jc w:val="center"/>
      </w:pPr>
      <w:bookmarkStart w:id="102" w:name="PO_226C"/>
      <w:bookmarkEnd w:id="102"/>
      <w:r>
        <w:rPr>
          <w:rFonts w:hint="eastAsia"/>
        </w:rPr>
        <w:drawing>
          <wp:inline distT="0" distB="0" distL="0" distR="0">
            <wp:extent cx="5274310" cy="1628775"/>
            <wp:effectExtent l="0" t="0" r="0" b="0"/>
            <wp:docPr id="473" name="图表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107"/>
        <w:adjustRightInd/>
        <w:snapToGrid/>
        <w:spacing w:before="156" w:after="312"/>
        <w:ind w:left="420" w:hanging="420"/>
      </w:pPr>
      <w:r>
        <w:rPr>
          <w:rFonts w:hint="eastAsia"/>
        </w:rPr>
        <w:t>出国（境）留学情况</w:t>
      </w:r>
    </w:p>
    <w:p>
      <w:pPr>
        <w:pStyle w:val="41"/>
        <w:ind w:firstLine="480"/>
      </w:pPr>
    </w:p>
    <w:p>
      <w:pPr>
        <w:pStyle w:val="44"/>
        <w:spacing w:before="624" w:after="936"/>
        <w:sectPr>
          <w:footerReference r:id="rId9" w:type="default"/>
          <w:footerReference r:id="rId10" w:type="even"/>
          <w:pgSz w:w="11906" w:h="16838"/>
          <w:pgMar w:top="1418" w:right="1134" w:bottom="1418" w:left="1134" w:header="851" w:footer="857" w:gutter="0"/>
          <w:pgBorders w:offsetFrom="page">
            <w:bottom w:val="single" w:color="auto" w:sz="4" w:space="24"/>
          </w:pgBorders>
          <w:cols w:space="425" w:num="1"/>
          <w:docGrid w:type="lines" w:linePitch="312" w:charSpace="0"/>
        </w:sectPr>
      </w:pPr>
    </w:p>
    <w:p>
      <w:pPr>
        <w:pStyle w:val="44"/>
        <w:spacing w:before="624" w:after="936"/>
      </w:pPr>
      <w:r>
        <mc:AlternateContent>
          <mc:Choice Requires="wps">
            <w:drawing>
              <wp:anchor distT="0" distB="0" distL="114300" distR="114300" simplePos="0" relativeHeight="251662336" behindDoc="0" locked="0" layoutInCell="1" allowOverlap="1">
                <wp:simplePos x="0" y="0"/>
                <wp:positionH relativeFrom="column">
                  <wp:posOffset>-838200</wp:posOffset>
                </wp:positionH>
                <wp:positionV relativeFrom="paragraph">
                  <wp:posOffset>542290</wp:posOffset>
                </wp:positionV>
                <wp:extent cx="7677150" cy="57150"/>
                <wp:effectExtent l="0" t="0" r="0" b="0"/>
                <wp:wrapNone/>
                <wp:docPr id="68" name="矩形 334"/>
                <wp:cNvGraphicFramePr/>
                <a:graphic xmlns:a="http://schemas.openxmlformats.org/drawingml/2006/main">
                  <a:graphicData uri="http://schemas.microsoft.com/office/word/2010/wordprocessingShape">
                    <wps:wsp>
                      <wps:cNvSpPr>
                        <a:spLocks noChangeArrowheads="1"/>
                      </wps:cNvSpPr>
                      <wps:spPr bwMode="auto">
                        <a:xfrm>
                          <a:off x="0" y="0"/>
                          <a:ext cx="7677150" cy="57150"/>
                        </a:xfrm>
                        <a:prstGeom prst="rect">
                          <a:avLst/>
                        </a:prstGeom>
                        <a:gradFill rotWithShape="1">
                          <a:gsLst>
                            <a:gs pos="0">
                              <a:srgbClr val="4BACC6">
                                <a:lumMod val="20000"/>
                                <a:lumOff val="80000"/>
                              </a:srgbClr>
                            </a:gs>
                            <a:gs pos="100000">
                              <a:srgbClr val="4BACC6">
                                <a:lumMod val="75000"/>
                              </a:srgbClr>
                            </a:gs>
                          </a:gsLst>
                          <a:lin ang="0" scaled="1"/>
                        </a:gradFill>
                        <a:ln>
                          <a:noFill/>
                        </a:ln>
                        <a:effectLst/>
                      </wps:spPr>
                      <wps:bodyPr rot="0" vert="horz" wrap="square" lIns="91440" tIns="45720" rIns="91440" bIns="45720" anchor="t" anchorCtr="0" upright="1">
                        <a:noAutofit/>
                      </wps:bodyPr>
                    </wps:wsp>
                  </a:graphicData>
                </a:graphic>
              </wp:anchor>
            </w:drawing>
          </mc:Choice>
          <mc:Fallback>
            <w:pict>
              <v:rect id="矩形 334" o:spid="_x0000_s1026" o:spt="1" style="position:absolute;left:0pt;margin-left:-66pt;margin-top:42.7pt;height:4.5pt;width:604.5pt;z-index:251662336;mso-width-relative:page;mso-height-relative:page;" fillcolor="#DBEEF4" filled="t" stroked="f" coordsize="21600,21600" o:gfxdata="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q&#10;XCja3QAAAAsBAAAPAAAAAAAAAAEAIAAAACIAAABkcnMvZG93bnJldi54bWxQSwECFAAUAAAACACH&#10;TuJAMNJkDVgCAADIBAAADgAAAAAAAAABACAAAAAsAQAAZHJzL2Uyb0RvYy54bWxQSwUGAAAAAAYA&#10;BgBZAQAA9gUAAAAA&#10;">
                <v:fill type="gradient" on="t" color2="#31859C" angle="90" focus="100%" focussize="0,0" rotate="t"/>
                <v:stroke on="f"/>
                <v:imagedata o:title=""/>
                <o:lock v:ext="edit" aspectratio="f"/>
              </v:rect>
            </w:pict>
          </mc:Fallback>
        </mc:AlternateContent>
      </w:r>
      <w:r>
        <w:rPr>
          <w:rFonts w:hint="eastAsia"/>
        </w:rPr>
        <w:t>第三章</w:t>
      </w:r>
      <w:bookmarkEnd w:id="2"/>
      <w:r>
        <w:t xml:space="preserve">  </w:t>
      </w:r>
      <w:r>
        <w:rPr>
          <w:rFonts w:hint="eastAsia"/>
        </w:rPr>
        <w:t>毕业生调查</w:t>
      </w:r>
      <w:r>
        <w:t>数据分析</w:t>
      </w:r>
      <w:bookmarkEnd w:id="18"/>
    </w:p>
    <w:p>
      <w:pPr>
        <w:pStyle w:val="41"/>
        <w:spacing w:before="312" w:after="156"/>
        <w:ind w:firstLine="480"/>
      </w:pPr>
      <w:bookmarkStart w:id="103" w:name="_Toc486857478"/>
      <w:r>
        <w:rPr>
          <w:rFonts w:hint="eastAsia"/>
        </w:rPr>
        <w:t>为全面了解本校毕业生的就业、创业情况，及时掌握毕业生就业动向、自主创业以及对学校专业培养的评价反馈等重要信息，我校委托北京高校毕业生就业指导中心对2017届毕业生进行就业创业状况调查</w:t>
      </w:r>
      <w:r>
        <w:rPr>
          <w:rFonts w:hint="eastAsia"/>
          <w:kern w:val="0"/>
        </w:rPr>
        <w:t>（2017年4～6月进行）</w:t>
      </w:r>
      <w:r>
        <w:rPr>
          <w:rFonts w:hint="eastAsia"/>
        </w:rPr>
        <w:t>。</w:t>
      </w:r>
      <w:r>
        <w:rPr>
          <w:rFonts w:hint="eastAsia"/>
          <w:kern w:val="0"/>
        </w:rPr>
        <w:t>本章数据均来源于此次调查。</w:t>
      </w:r>
    </w:p>
    <w:p>
      <w:pPr>
        <w:pStyle w:val="47"/>
        <w:spacing w:before="312" w:after="156"/>
      </w:pPr>
      <w:r>
        <w:rPr>
          <w:rFonts w:hint="eastAsia"/>
        </w:rPr>
        <w:t>一</w:t>
      </w:r>
      <w:r>
        <w:t>、</w:t>
      </w:r>
      <w:r>
        <w:rPr>
          <w:rFonts w:hint="eastAsia"/>
        </w:rPr>
        <w:t>研究概况</w:t>
      </w:r>
      <w:bookmarkEnd w:id="103"/>
    </w:p>
    <w:p>
      <w:pPr>
        <w:pStyle w:val="49"/>
        <w:spacing w:before="156" w:after="156"/>
        <w:ind w:left="120"/>
      </w:pPr>
      <w:bookmarkStart w:id="104" w:name="_Toc435125877"/>
      <w:bookmarkStart w:id="105" w:name="_Toc486857479"/>
      <w:r>
        <w:rPr>
          <w:rFonts w:hint="eastAsia"/>
        </w:rPr>
        <w:t>（一）调查</w:t>
      </w:r>
      <w:r>
        <w:t>方法</w:t>
      </w:r>
      <w:bookmarkEnd w:id="104"/>
      <w:bookmarkEnd w:id="105"/>
    </w:p>
    <w:p>
      <w:pPr>
        <w:pStyle w:val="41"/>
        <w:ind w:firstLine="480"/>
        <w:rPr>
          <w:rFonts w:cs="Times New Roman"/>
        </w:rPr>
      </w:pPr>
      <w:r>
        <w:rPr>
          <w:rFonts w:cs="Times New Roman"/>
        </w:rPr>
        <w:t>本调查采用问卷法</w:t>
      </w:r>
      <w:r>
        <w:rPr>
          <w:rFonts w:hint="eastAsia" w:cs="Times New Roman"/>
        </w:rPr>
        <w:t>。</w:t>
      </w:r>
      <w:r>
        <w:rPr>
          <w:rFonts w:cs="Times New Roman"/>
        </w:rPr>
        <w:t>问卷共47道题，包括毕业生基本情况、教育培养与就业服务、求职过程、就业结果和自主创业五个部分，不同去向的毕业生分别回答问卷中不同部分的题目。</w:t>
      </w:r>
    </w:p>
    <w:p>
      <w:pPr>
        <w:pStyle w:val="41"/>
        <w:ind w:firstLine="480"/>
        <w:rPr>
          <w:rFonts w:cs="Times New Roman"/>
        </w:rPr>
      </w:pPr>
      <w:r>
        <w:rPr>
          <w:rFonts w:hint="eastAsia" w:cs="Times New Roman"/>
        </w:rPr>
        <w:t>2017年4月，我们开始进行网络问卷调查。在对重复数据、缺失数据、异常值等进行细致全面的清理后，最终有效问卷为</w:t>
      </w:r>
      <w:bookmarkStart w:id="106" w:name="PO_count1"/>
      <w:bookmarkEnd w:id="106"/>
      <w:r>
        <w:rPr>
          <w:rFonts w:cs="Times New Roman"/>
        </w:rPr>
        <w:t>364</w:t>
      </w:r>
      <w:r>
        <w:rPr>
          <w:rFonts w:hint="eastAsia" w:cs="Times New Roman"/>
        </w:rPr>
        <w:t>份。</w:t>
      </w:r>
    </w:p>
    <w:p>
      <w:pPr>
        <w:pStyle w:val="49"/>
        <w:spacing w:before="156" w:after="156"/>
        <w:ind w:left="120"/>
      </w:pPr>
      <w:bookmarkStart w:id="107" w:name="_Toc435125878"/>
      <w:bookmarkStart w:id="108" w:name="_Toc486857480"/>
      <w:r>
        <w:rPr>
          <w:rFonts w:hint="eastAsia"/>
        </w:rPr>
        <w:t>（二）分析</w:t>
      </w:r>
      <w:r>
        <w:t>方法</w:t>
      </w:r>
      <w:bookmarkEnd w:id="107"/>
      <w:bookmarkEnd w:id="108"/>
    </w:p>
    <w:p>
      <w:pPr>
        <w:pStyle w:val="41"/>
        <w:ind w:firstLine="480"/>
      </w:pPr>
      <w:r>
        <w:rPr>
          <w:rFonts w:hint="eastAsia"/>
        </w:rPr>
        <w:t>数据清理后，使用统计分析软件SPSS20.0进行分析。具体采用频率分析、交叉分析、方差分析等方法。</w:t>
      </w:r>
    </w:p>
    <w:p>
      <w:pPr>
        <w:pStyle w:val="49"/>
        <w:spacing w:before="156" w:after="156"/>
        <w:ind w:left="120"/>
      </w:pPr>
      <w:bookmarkStart w:id="109" w:name="_Toc435125879"/>
      <w:bookmarkStart w:id="110" w:name="_Toc486857481"/>
      <w:r>
        <w:rPr>
          <w:rFonts w:hint="eastAsia"/>
        </w:rPr>
        <w:t>（三）样本特征</w:t>
      </w:r>
      <w:bookmarkEnd w:id="109"/>
      <w:bookmarkEnd w:id="110"/>
    </w:p>
    <w:p>
      <w:pPr>
        <w:pStyle w:val="123"/>
        <w:ind w:firstLine="480"/>
      </w:pPr>
      <w:r>
        <w:rPr>
          <w:rFonts w:hint="eastAsia"/>
        </w:rPr>
        <w:t>本次调查的有效样本量为</w:t>
      </w:r>
      <w:bookmarkStart w:id="111" w:name="PO_count2"/>
      <w:bookmarkEnd w:id="111"/>
      <w:r>
        <w:t>364</w:t>
      </w:r>
      <w:r>
        <w:rPr>
          <w:rFonts w:hint="eastAsia"/>
        </w:rPr>
        <w:t>份。</w:t>
      </w:r>
      <w:bookmarkStart w:id="112" w:name="PO_3131"/>
      <w:bookmarkEnd w:id="112"/>
      <w:r>
        <w:rPr>
          <w:rFonts w:hint="eastAsia"/>
        </w:rPr>
        <w:t>在性别、生源地区和学历层次方面的分布如下表所示，其中，男女调查比例为0.60:1；京外生源的毕业生多于北京生源，占90.93%；本科生占75.27%，研究生占24.73%。</w:t>
      </w:r>
    </w:p>
    <w:p>
      <w:pPr>
        <w:pStyle w:val="55"/>
        <w:spacing w:before="312" w:after="156"/>
      </w:pPr>
      <w:bookmarkStart w:id="113" w:name="PO_3132"/>
      <w:bookmarkEnd w:id="113"/>
      <w:r>
        <w:rPr>
          <w:rFonts w:hint="eastAsia"/>
        </w:rPr>
        <w:t>调查样本性别、生源地区、学历层次分布</w:t>
      </w:r>
    </w:p>
    <w:tbl>
      <w:tblPr>
        <w:tblStyle w:val="125"/>
        <w:tblW w:w="7290" w:type="dxa"/>
        <w:jc w:val="center"/>
        <w:tblInd w:w="1182"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1930"/>
        <w:gridCol w:w="2021"/>
        <w:gridCol w:w="1779"/>
        <w:gridCol w:w="1560"/>
      </w:tblGrid>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66" w:hRule="atLeast"/>
          <w:jc w:val="center"/>
        </w:trPr>
        <w:tc>
          <w:tcPr>
            <w:tcW w:w="1930" w:type="dxa"/>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4BACC6" w:themeFill="accent5"/>
          </w:tcPr>
          <w:p>
            <w:pPr>
              <w:ind w:firstLine="480"/>
              <w:jc w:val="center"/>
              <w:rPr>
                <w:rFonts w:ascii="Times New Roman" w:hAnsi="Times New Roman" w:eastAsia="宋体"/>
                <w:b/>
                <w:bCs/>
                <w:color w:val="FFFFFF" w:themeColor="background1"/>
                <w:kern w:val="0"/>
                <w:sz w:val="21"/>
              </w:rPr>
            </w:pPr>
          </w:p>
        </w:tc>
        <w:tc>
          <w:tcPr>
            <w:tcW w:w="2021" w:type="dxa"/>
            <w:tcBorders>
              <w:top w:val="single" w:color="4BACC6" w:themeColor="accent5" w:sz="4" w:space="0"/>
              <w:bottom w:val="single" w:color="4BACC6" w:themeColor="accent5" w:sz="4" w:space="0"/>
              <w:right w:val="nil"/>
              <w:insideH w:val="single" w:sz="4" w:space="0"/>
              <w:insideV w:val="nil"/>
            </w:tcBorders>
            <w:shd w:val="clear" w:color="auto" w:fill="4BACC6" w:themeFill="accent5"/>
          </w:tcPr>
          <w:p>
            <w:pPr>
              <w:jc w:val="center"/>
              <w:rPr>
                <w:rFonts w:ascii="Times New Roman" w:hAnsi="Times New Roman" w:eastAsia="宋体"/>
                <w:b/>
                <w:bCs/>
                <w:color w:val="FFFFFF" w:themeColor="background1"/>
                <w:kern w:val="0"/>
                <w:sz w:val="21"/>
              </w:rPr>
            </w:pPr>
          </w:p>
        </w:tc>
        <w:tc>
          <w:tcPr>
            <w:tcW w:w="1779" w:type="dxa"/>
            <w:tcBorders>
              <w:top w:val="single" w:color="4BACC6" w:themeColor="accent5" w:sz="4" w:space="0"/>
              <w:bottom w:val="single" w:color="4BACC6" w:themeColor="accent5" w:sz="4" w:space="0"/>
              <w:right w:val="nil"/>
              <w:insideH w:val="single" w:sz="4" w:space="0"/>
              <w:insideV w:val="nil"/>
            </w:tcBorders>
            <w:shd w:val="clear" w:color="auto" w:fill="4BACC6" w:themeFill="accent5"/>
          </w:tcPr>
          <w:p>
            <w:pPr>
              <w:jc w:val="center"/>
              <w:rPr>
                <w:rFonts w:ascii="Times New Roman" w:hAnsi="Times New Roman" w:eastAsia="宋体"/>
                <w:b/>
                <w:bCs/>
                <w:color w:val="FFFFFF" w:themeColor="background1"/>
                <w:kern w:val="0"/>
                <w:sz w:val="21"/>
              </w:rPr>
            </w:pPr>
            <w:r>
              <w:rPr>
                <w:rFonts w:hint="eastAsia" w:ascii="Times New Roman" w:hAnsi="Times New Roman" w:eastAsia="宋体"/>
                <w:b/>
                <w:bCs/>
                <w:color w:val="FFFFFF" w:themeColor="background1"/>
                <w:kern w:val="0"/>
                <w:sz w:val="21"/>
              </w:rPr>
              <w:t>人数</w:t>
            </w:r>
          </w:p>
        </w:tc>
        <w:tc>
          <w:tcPr>
            <w:tcW w:w="1560" w:type="dxa"/>
            <w:tcBorders>
              <w:top w:val="single" w:color="4BACC6" w:themeColor="accent5" w:sz="4" w:space="0"/>
              <w:bottom w:val="single" w:color="4BACC6" w:themeColor="accent5" w:sz="4" w:space="0"/>
              <w:right w:val="single" w:color="4BACC6" w:themeColor="accent5" w:sz="4" w:space="0"/>
              <w:insideH w:val="single" w:sz="4" w:space="0"/>
              <w:insideV w:val="nil"/>
            </w:tcBorders>
            <w:shd w:val="clear" w:color="auto" w:fill="4BACC6" w:themeFill="accent5"/>
          </w:tcPr>
          <w:p>
            <w:pPr>
              <w:jc w:val="center"/>
              <w:rPr>
                <w:rFonts w:ascii="Times New Roman" w:hAnsi="Times New Roman" w:eastAsia="宋体"/>
                <w:b/>
                <w:bCs/>
                <w:color w:val="FFFFFF" w:themeColor="background1"/>
                <w:kern w:val="0"/>
                <w:sz w:val="21"/>
              </w:rPr>
            </w:pPr>
            <w:r>
              <w:rPr>
                <w:rFonts w:hint="eastAsia" w:ascii="Times New Roman" w:hAnsi="Times New Roman" w:eastAsia="宋体"/>
                <w:b/>
                <w:bCs/>
                <w:color w:val="FFFFFF" w:themeColor="background1"/>
                <w:kern w:val="0"/>
                <w:sz w:val="21"/>
              </w:rPr>
              <w:t>有效%</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52" w:hRule="atLeast"/>
          <w:jc w:val="center"/>
        </w:trPr>
        <w:tc>
          <w:tcPr>
            <w:tcW w:w="1930" w:type="dxa"/>
            <w:vMerge w:val="restart"/>
            <w:shd w:val="clear" w:color="auto" w:fill="DAEEF3" w:themeFill="accent5" w:themeFillTint="33"/>
            <w:vAlign w:val="center"/>
          </w:tcPr>
          <w:p>
            <w:pPr>
              <w:jc w:val="center"/>
              <w:rPr>
                <w:rFonts w:ascii="Times New Roman" w:hAnsi="Times New Roman" w:eastAsia="宋体"/>
                <w:b/>
                <w:bCs/>
                <w:kern w:val="0"/>
                <w:sz w:val="21"/>
              </w:rPr>
            </w:pPr>
            <w:r>
              <w:rPr>
                <w:rFonts w:hint="eastAsia" w:ascii="Times New Roman" w:hAnsi="Times New Roman" w:eastAsia="宋体"/>
                <w:b/>
                <w:bCs/>
                <w:kern w:val="0"/>
                <w:sz w:val="21"/>
              </w:rPr>
              <w:t>性别</w:t>
            </w:r>
          </w:p>
        </w:tc>
        <w:tc>
          <w:tcPr>
            <w:tcW w:w="2021" w:type="dxa"/>
            <w:shd w:val="clear" w:color="auto" w:fill="DAEEF3" w:themeFill="accent5" w:themeFillTint="33"/>
            <w:vAlign w:val="center"/>
          </w:tcPr>
          <w:p>
            <w:pPr>
              <w:rPr>
                <w:rFonts w:ascii="Times New Roman" w:hAnsi="Times New Roman" w:eastAsia="宋体"/>
                <w:kern w:val="0"/>
                <w:sz w:val="21"/>
              </w:rPr>
            </w:pPr>
            <w:r>
              <w:rPr>
                <w:rFonts w:hint="eastAsia" w:ascii="Times New Roman" w:hAnsi="Times New Roman" w:eastAsia="宋体"/>
                <w:kern w:val="0"/>
                <w:sz w:val="21"/>
              </w:rPr>
              <w:t>男生</w:t>
            </w:r>
          </w:p>
        </w:tc>
        <w:tc>
          <w:tcPr>
            <w:tcW w:w="1779" w:type="dxa"/>
            <w:shd w:val="clear" w:color="auto" w:fill="DAEEF3" w:themeFill="accent5" w:themeFillTint="33"/>
            <w:vAlign w:val="center"/>
          </w:tcPr>
          <w:p>
            <w:pPr>
              <w:jc w:val="center"/>
              <w:rPr>
                <w:rFonts w:ascii="Times New Roman" w:hAnsi="Times New Roman" w:eastAsia="宋体"/>
                <w:kern w:val="0"/>
                <w:sz w:val="21"/>
              </w:rPr>
            </w:pPr>
            <w:r>
              <w:rPr>
                <w:rFonts w:ascii="Times New Roman" w:hAnsi="Times New Roman" w:eastAsia="宋体"/>
                <w:kern w:val="0"/>
                <w:sz w:val="21"/>
              </w:rPr>
              <w:t>137</w:t>
            </w:r>
          </w:p>
        </w:tc>
        <w:tc>
          <w:tcPr>
            <w:tcW w:w="1560" w:type="dxa"/>
            <w:shd w:val="clear" w:color="auto" w:fill="DAEEF3" w:themeFill="accent5" w:themeFillTint="33"/>
            <w:vAlign w:val="center"/>
          </w:tcPr>
          <w:p>
            <w:pPr>
              <w:jc w:val="center"/>
              <w:rPr>
                <w:rFonts w:ascii="Times New Roman" w:hAnsi="Times New Roman" w:eastAsia="宋体"/>
                <w:kern w:val="0"/>
                <w:sz w:val="21"/>
              </w:rPr>
            </w:pPr>
            <w:r>
              <w:rPr>
                <w:rFonts w:ascii="Times New Roman" w:hAnsi="Times New Roman" w:eastAsia="宋体"/>
                <w:kern w:val="0"/>
                <w:sz w:val="21"/>
              </w:rPr>
              <w:t>37.64</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52" w:hRule="atLeast"/>
          <w:jc w:val="center"/>
        </w:trPr>
        <w:tc>
          <w:tcPr>
            <w:tcW w:w="1930" w:type="dxa"/>
            <w:vMerge w:val="continue"/>
            <w:vAlign w:val="center"/>
          </w:tcPr>
          <w:p>
            <w:pPr>
              <w:jc w:val="center"/>
              <w:rPr>
                <w:rFonts w:ascii="Times New Roman" w:hAnsi="Times New Roman" w:eastAsia="宋体"/>
                <w:b/>
                <w:bCs/>
                <w:kern w:val="0"/>
                <w:sz w:val="21"/>
              </w:rPr>
            </w:pPr>
          </w:p>
        </w:tc>
        <w:tc>
          <w:tcPr>
            <w:tcW w:w="2021" w:type="dxa"/>
            <w:vAlign w:val="center"/>
          </w:tcPr>
          <w:p>
            <w:pPr>
              <w:rPr>
                <w:rFonts w:ascii="Times New Roman" w:hAnsi="Times New Roman" w:eastAsia="宋体"/>
                <w:kern w:val="0"/>
                <w:sz w:val="21"/>
              </w:rPr>
            </w:pPr>
            <w:r>
              <w:rPr>
                <w:rFonts w:hint="eastAsia" w:ascii="Times New Roman" w:hAnsi="Times New Roman" w:eastAsia="宋体"/>
                <w:kern w:val="0"/>
                <w:sz w:val="21"/>
              </w:rPr>
              <w:t>女生</w:t>
            </w:r>
          </w:p>
        </w:tc>
        <w:tc>
          <w:tcPr>
            <w:tcW w:w="1779" w:type="dxa"/>
            <w:vAlign w:val="center"/>
          </w:tcPr>
          <w:p>
            <w:pPr>
              <w:jc w:val="center"/>
              <w:rPr>
                <w:rFonts w:ascii="Times New Roman" w:hAnsi="Times New Roman" w:eastAsia="宋体"/>
                <w:kern w:val="0"/>
                <w:sz w:val="21"/>
              </w:rPr>
            </w:pPr>
            <w:r>
              <w:rPr>
                <w:rFonts w:ascii="Times New Roman" w:hAnsi="Times New Roman" w:eastAsia="宋体"/>
                <w:kern w:val="0"/>
                <w:sz w:val="21"/>
              </w:rPr>
              <w:t>227</w:t>
            </w:r>
          </w:p>
        </w:tc>
        <w:tc>
          <w:tcPr>
            <w:tcW w:w="1560" w:type="dxa"/>
            <w:vAlign w:val="center"/>
          </w:tcPr>
          <w:p>
            <w:pPr>
              <w:jc w:val="center"/>
              <w:rPr>
                <w:rFonts w:ascii="Times New Roman" w:hAnsi="Times New Roman" w:eastAsia="宋体"/>
                <w:kern w:val="0"/>
                <w:sz w:val="21"/>
              </w:rPr>
            </w:pPr>
            <w:r>
              <w:rPr>
                <w:rFonts w:ascii="Times New Roman" w:hAnsi="Times New Roman" w:eastAsia="宋体"/>
                <w:kern w:val="0"/>
                <w:sz w:val="21"/>
              </w:rPr>
              <w:t>62.36</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52" w:hRule="atLeast"/>
          <w:jc w:val="center"/>
        </w:trPr>
        <w:tc>
          <w:tcPr>
            <w:tcW w:w="1930" w:type="dxa"/>
            <w:vMerge w:val="restart"/>
            <w:shd w:val="clear" w:color="auto" w:fill="DAEEF3" w:themeFill="accent5" w:themeFillTint="33"/>
            <w:vAlign w:val="center"/>
          </w:tcPr>
          <w:p>
            <w:pPr>
              <w:jc w:val="center"/>
              <w:rPr>
                <w:rFonts w:ascii="Times New Roman" w:hAnsi="Times New Roman" w:eastAsia="宋体"/>
                <w:b/>
                <w:bCs/>
                <w:kern w:val="0"/>
                <w:sz w:val="21"/>
              </w:rPr>
            </w:pPr>
            <w:r>
              <w:rPr>
                <w:rFonts w:hint="eastAsia" w:ascii="Times New Roman" w:hAnsi="Times New Roman" w:eastAsia="宋体"/>
                <w:b/>
                <w:bCs/>
                <w:kern w:val="0"/>
                <w:sz w:val="21"/>
              </w:rPr>
              <w:t>生源地区</w:t>
            </w:r>
          </w:p>
        </w:tc>
        <w:tc>
          <w:tcPr>
            <w:tcW w:w="2021" w:type="dxa"/>
            <w:shd w:val="clear" w:color="auto" w:fill="DAEEF3" w:themeFill="accent5" w:themeFillTint="33"/>
            <w:vAlign w:val="center"/>
          </w:tcPr>
          <w:p>
            <w:pPr>
              <w:rPr>
                <w:rFonts w:ascii="Times New Roman" w:hAnsi="Times New Roman" w:eastAsia="宋体"/>
                <w:kern w:val="0"/>
                <w:sz w:val="21"/>
              </w:rPr>
            </w:pPr>
            <w:r>
              <w:rPr>
                <w:rFonts w:hint="eastAsia" w:ascii="Times New Roman" w:hAnsi="Times New Roman" w:eastAsia="宋体"/>
                <w:kern w:val="0"/>
                <w:sz w:val="21"/>
              </w:rPr>
              <w:t>北京生源</w:t>
            </w:r>
          </w:p>
        </w:tc>
        <w:tc>
          <w:tcPr>
            <w:tcW w:w="1779" w:type="dxa"/>
            <w:shd w:val="clear" w:color="auto" w:fill="DAEEF3" w:themeFill="accent5" w:themeFillTint="33"/>
            <w:vAlign w:val="center"/>
          </w:tcPr>
          <w:p>
            <w:pPr>
              <w:jc w:val="center"/>
              <w:rPr>
                <w:rFonts w:ascii="Times New Roman" w:hAnsi="Times New Roman" w:eastAsia="宋体"/>
                <w:kern w:val="0"/>
                <w:sz w:val="21"/>
              </w:rPr>
            </w:pPr>
            <w:r>
              <w:rPr>
                <w:rFonts w:ascii="Times New Roman" w:hAnsi="Times New Roman" w:eastAsia="宋体"/>
                <w:kern w:val="0"/>
                <w:sz w:val="21"/>
              </w:rPr>
              <w:t>33</w:t>
            </w:r>
          </w:p>
        </w:tc>
        <w:tc>
          <w:tcPr>
            <w:tcW w:w="1560" w:type="dxa"/>
            <w:shd w:val="clear" w:color="auto" w:fill="DAEEF3" w:themeFill="accent5" w:themeFillTint="33"/>
            <w:vAlign w:val="center"/>
          </w:tcPr>
          <w:p>
            <w:pPr>
              <w:jc w:val="center"/>
              <w:rPr>
                <w:rFonts w:ascii="Times New Roman" w:hAnsi="Times New Roman" w:eastAsia="宋体"/>
                <w:kern w:val="0"/>
                <w:sz w:val="21"/>
              </w:rPr>
            </w:pPr>
            <w:r>
              <w:rPr>
                <w:rFonts w:ascii="Times New Roman" w:hAnsi="Times New Roman" w:eastAsia="宋体"/>
                <w:kern w:val="0"/>
                <w:sz w:val="21"/>
              </w:rPr>
              <w:t>9.07</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52" w:hRule="atLeast"/>
          <w:jc w:val="center"/>
        </w:trPr>
        <w:tc>
          <w:tcPr>
            <w:tcW w:w="1930" w:type="dxa"/>
            <w:vMerge w:val="continue"/>
            <w:vAlign w:val="center"/>
          </w:tcPr>
          <w:p>
            <w:pPr>
              <w:jc w:val="center"/>
              <w:rPr>
                <w:rFonts w:ascii="Times New Roman" w:hAnsi="Times New Roman" w:eastAsia="宋体"/>
                <w:b/>
                <w:bCs/>
                <w:kern w:val="0"/>
                <w:sz w:val="21"/>
              </w:rPr>
            </w:pPr>
          </w:p>
        </w:tc>
        <w:tc>
          <w:tcPr>
            <w:tcW w:w="2021" w:type="dxa"/>
            <w:vAlign w:val="center"/>
          </w:tcPr>
          <w:p>
            <w:pPr>
              <w:rPr>
                <w:rFonts w:ascii="Times New Roman" w:hAnsi="Times New Roman" w:eastAsia="宋体"/>
                <w:kern w:val="0"/>
                <w:sz w:val="21"/>
              </w:rPr>
            </w:pPr>
            <w:r>
              <w:rPr>
                <w:rFonts w:hint="eastAsia" w:ascii="Times New Roman" w:hAnsi="Times New Roman" w:eastAsia="宋体"/>
                <w:kern w:val="0"/>
                <w:sz w:val="21"/>
              </w:rPr>
              <w:t>京外生源</w:t>
            </w:r>
          </w:p>
        </w:tc>
        <w:tc>
          <w:tcPr>
            <w:tcW w:w="1779" w:type="dxa"/>
            <w:vAlign w:val="center"/>
          </w:tcPr>
          <w:p>
            <w:pPr>
              <w:jc w:val="center"/>
              <w:rPr>
                <w:rFonts w:ascii="Times New Roman" w:hAnsi="Times New Roman" w:eastAsia="宋体"/>
                <w:kern w:val="0"/>
                <w:sz w:val="21"/>
              </w:rPr>
            </w:pPr>
            <w:r>
              <w:rPr>
                <w:rFonts w:ascii="Times New Roman" w:hAnsi="Times New Roman" w:eastAsia="宋体"/>
                <w:kern w:val="0"/>
                <w:sz w:val="21"/>
              </w:rPr>
              <w:t>331</w:t>
            </w:r>
          </w:p>
        </w:tc>
        <w:tc>
          <w:tcPr>
            <w:tcW w:w="1560" w:type="dxa"/>
            <w:vAlign w:val="center"/>
          </w:tcPr>
          <w:p>
            <w:pPr>
              <w:jc w:val="center"/>
              <w:rPr>
                <w:rFonts w:ascii="Times New Roman" w:hAnsi="Times New Roman" w:eastAsia="宋体"/>
                <w:kern w:val="0"/>
                <w:sz w:val="21"/>
              </w:rPr>
            </w:pPr>
            <w:r>
              <w:rPr>
                <w:rFonts w:ascii="Times New Roman" w:hAnsi="Times New Roman" w:eastAsia="宋体"/>
                <w:kern w:val="0"/>
                <w:sz w:val="21"/>
              </w:rPr>
              <w:t>90.93</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52" w:hRule="atLeast"/>
          <w:jc w:val="center"/>
        </w:trPr>
        <w:tc>
          <w:tcPr>
            <w:tcW w:w="1930" w:type="dxa"/>
            <w:vMerge w:val="restart"/>
            <w:shd w:val="clear" w:color="auto" w:fill="DAEEF3" w:themeFill="accent5" w:themeFillTint="33"/>
            <w:vAlign w:val="center"/>
          </w:tcPr>
          <w:p>
            <w:pPr>
              <w:jc w:val="center"/>
              <w:rPr>
                <w:rFonts w:ascii="Times New Roman" w:hAnsi="Times New Roman" w:eastAsia="宋体"/>
                <w:b/>
                <w:bCs/>
                <w:kern w:val="0"/>
                <w:sz w:val="21"/>
              </w:rPr>
            </w:pPr>
            <w:r>
              <w:rPr>
                <w:rFonts w:hint="eastAsia" w:ascii="Times New Roman" w:hAnsi="Times New Roman" w:eastAsia="宋体"/>
                <w:b/>
                <w:bCs/>
                <w:kern w:val="0"/>
                <w:sz w:val="21"/>
              </w:rPr>
              <w:t>学历层次</w:t>
            </w:r>
          </w:p>
        </w:tc>
        <w:tc>
          <w:tcPr>
            <w:tcW w:w="2021" w:type="dxa"/>
            <w:shd w:val="clear" w:color="auto" w:fill="DAEEF3" w:themeFill="accent5" w:themeFillTint="33"/>
            <w:vAlign w:val="center"/>
          </w:tcPr>
          <w:p>
            <w:pPr>
              <w:rPr>
                <w:rFonts w:ascii="Times New Roman" w:hAnsi="Times New Roman" w:eastAsia="宋体"/>
                <w:kern w:val="0"/>
                <w:sz w:val="21"/>
              </w:rPr>
            </w:pPr>
            <w:r>
              <w:rPr>
                <w:rFonts w:hint="eastAsia" w:ascii="Times New Roman" w:hAnsi="Times New Roman" w:eastAsia="宋体"/>
                <w:kern w:val="0"/>
                <w:sz w:val="21"/>
              </w:rPr>
              <w:t>本科生</w:t>
            </w:r>
          </w:p>
        </w:tc>
        <w:tc>
          <w:tcPr>
            <w:tcW w:w="1779" w:type="dxa"/>
            <w:shd w:val="clear" w:color="auto" w:fill="DAEEF3" w:themeFill="accent5" w:themeFillTint="33"/>
            <w:vAlign w:val="center"/>
          </w:tcPr>
          <w:p>
            <w:pPr>
              <w:jc w:val="center"/>
              <w:rPr>
                <w:rFonts w:ascii="Times New Roman" w:hAnsi="Times New Roman" w:eastAsia="宋体"/>
                <w:kern w:val="0"/>
                <w:sz w:val="21"/>
              </w:rPr>
            </w:pPr>
            <w:r>
              <w:rPr>
                <w:rFonts w:ascii="Times New Roman" w:hAnsi="Times New Roman" w:eastAsia="宋体"/>
                <w:kern w:val="0"/>
                <w:sz w:val="21"/>
              </w:rPr>
              <w:t>274</w:t>
            </w:r>
          </w:p>
        </w:tc>
        <w:tc>
          <w:tcPr>
            <w:tcW w:w="1560" w:type="dxa"/>
            <w:shd w:val="clear" w:color="auto" w:fill="DAEEF3" w:themeFill="accent5" w:themeFillTint="33"/>
            <w:vAlign w:val="center"/>
          </w:tcPr>
          <w:p>
            <w:pPr>
              <w:jc w:val="center"/>
              <w:rPr>
                <w:rFonts w:ascii="Times New Roman" w:hAnsi="Times New Roman" w:eastAsia="宋体"/>
                <w:kern w:val="0"/>
                <w:sz w:val="21"/>
              </w:rPr>
            </w:pPr>
            <w:r>
              <w:rPr>
                <w:rFonts w:ascii="Times New Roman" w:hAnsi="Times New Roman" w:eastAsia="宋体"/>
                <w:kern w:val="0"/>
                <w:sz w:val="21"/>
              </w:rPr>
              <w:t>75.27</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52" w:hRule="atLeast"/>
          <w:jc w:val="center"/>
        </w:trPr>
        <w:tc>
          <w:tcPr>
            <w:tcW w:w="1930" w:type="dxa"/>
            <w:vMerge w:val="continue"/>
            <w:vAlign w:val="center"/>
          </w:tcPr>
          <w:p>
            <w:pPr>
              <w:jc w:val="center"/>
              <w:rPr>
                <w:rFonts w:ascii="Times New Roman" w:hAnsi="Times New Roman" w:eastAsia="宋体"/>
                <w:b/>
                <w:bCs/>
                <w:kern w:val="0"/>
                <w:sz w:val="21"/>
              </w:rPr>
            </w:pPr>
          </w:p>
        </w:tc>
        <w:tc>
          <w:tcPr>
            <w:tcW w:w="2021" w:type="dxa"/>
            <w:vAlign w:val="center"/>
          </w:tcPr>
          <w:p>
            <w:pPr>
              <w:rPr>
                <w:rFonts w:ascii="Times New Roman" w:hAnsi="Times New Roman" w:eastAsia="宋体"/>
                <w:kern w:val="0"/>
                <w:sz w:val="21"/>
              </w:rPr>
            </w:pPr>
            <w:r>
              <w:rPr>
                <w:rFonts w:hint="eastAsia" w:ascii="Times New Roman" w:hAnsi="Times New Roman" w:eastAsia="宋体"/>
                <w:kern w:val="0"/>
                <w:sz w:val="21"/>
              </w:rPr>
              <w:t>研究生（硕士、博士）</w:t>
            </w:r>
          </w:p>
        </w:tc>
        <w:tc>
          <w:tcPr>
            <w:tcW w:w="1779" w:type="dxa"/>
            <w:vAlign w:val="center"/>
          </w:tcPr>
          <w:p>
            <w:pPr>
              <w:jc w:val="center"/>
              <w:rPr>
                <w:rFonts w:ascii="Times New Roman" w:hAnsi="Times New Roman" w:eastAsia="宋体"/>
                <w:kern w:val="0"/>
                <w:sz w:val="21"/>
              </w:rPr>
            </w:pPr>
            <w:r>
              <w:rPr>
                <w:rFonts w:ascii="Times New Roman" w:hAnsi="Times New Roman" w:eastAsia="宋体"/>
                <w:kern w:val="0"/>
                <w:sz w:val="21"/>
              </w:rPr>
              <w:t>90</w:t>
            </w:r>
          </w:p>
        </w:tc>
        <w:tc>
          <w:tcPr>
            <w:tcW w:w="1560" w:type="dxa"/>
            <w:vAlign w:val="center"/>
          </w:tcPr>
          <w:p>
            <w:pPr>
              <w:jc w:val="center"/>
              <w:rPr>
                <w:rFonts w:ascii="Times New Roman" w:hAnsi="Times New Roman" w:eastAsia="宋体"/>
                <w:kern w:val="0"/>
                <w:sz w:val="21"/>
              </w:rPr>
            </w:pPr>
            <w:r>
              <w:rPr>
                <w:rFonts w:ascii="Times New Roman" w:hAnsi="Times New Roman" w:eastAsia="宋体"/>
                <w:kern w:val="0"/>
                <w:sz w:val="21"/>
              </w:rPr>
              <w:t>24.73</w:t>
            </w:r>
          </w:p>
        </w:tc>
      </w:tr>
    </w:tbl>
    <w:p>
      <w:pPr>
        <w:pStyle w:val="123"/>
        <w:ind w:firstLine="480"/>
      </w:pPr>
      <w:bookmarkStart w:id="114" w:name="PO_3133"/>
      <w:bookmarkEnd w:id="114"/>
      <w:r>
        <w:rPr>
          <w:rFonts w:hint="eastAsia"/>
        </w:rPr>
        <w:t>从专业分布来看，参与调查样本量最多的三个专业依次为戏剧影视导演（83份）、戏剧与影视学（48份）、表演（戏剧影视表演）（38份）。</w:t>
      </w:r>
    </w:p>
    <w:p>
      <w:pPr>
        <w:pStyle w:val="55"/>
        <w:spacing w:before="312" w:after="156"/>
      </w:pPr>
      <w:bookmarkStart w:id="115" w:name="PO_3135"/>
      <w:bookmarkEnd w:id="115"/>
      <w:bookmarkStart w:id="116" w:name="PO_3134"/>
      <w:bookmarkEnd w:id="116"/>
      <w:r>
        <w:rPr>
          <w:rFonts w:hint="eastAsia"/>
        </w:rPr>
        <w:t>调查样本院系及专业分布</w:t>
      </w:r>
    </w:p>
    <w:tbl>
      <w:tblPr>
        <w:tblStyle w:val="144"/>
        <w:tblW w:w="7027" w:type="dxa"/>
        <w:jc w:val="center"/>
        <w:tblInd w:w="0"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1985"/>
        <w:gridCol w:w="3402"/>
        <w:gridCol w:w="740"/>
        <w:gridCol w:w="900"/>
      </w:tblGrid>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170" w:hRule="atLeast"/>
          <w:jc w:val="center"/>
        </w:trPr>
        <w:tc>
          <w:tcPr>
            <w:tcW w:w="1985" w:type="dxa"/>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4BACC6" w:themeFill="accent5"/>
          </w:tcPr>
          <w:p>
            <w:pPr>
              <w:widowControl/>
              <w:jc w:val="center"/>
              <w:rPr>
                <w:rFonts w:hAnsiTheme="minorEastAsia"/>
                <w:b/>
                <w:bCs/>
                <w:color w:val="FFFFFF" w:themeColor="background1"/>
                <w:kern w:val="0"/>
                <w:sz w:val="21"/>
                <w:szCs w:val="21"/>
              </w:rPr>
            </w:pPr>
            <w:r>
              <w:rPr>
                <w:rFonts w:hint="eastAsia" w:hAnsiTheme="minorEastAsia"/>
                <w:b/>
                <w:bCs/>
                <w:color w:val="FFFFFF" w:themeColor="background1"/>
                <w:kern w:val="0"/>
                <w:sz w:val="21"/>
                <w:szCs w:val="21"/>
              </w:rPr>
              <w:t>学历层次</w:t>
            </w:r>
          </w:p>
        </w:tc>
        <w:tc>
          <w:tcPr>
            <w:tcW w:w="3402" w:type="dxa"/>
            <w:tcBorders>
              <w:top w:val="single" w:color="4BACC6" w:themeColor="accent5" w:sz="4" w:space="0"/>
              <w:bottom w:val="single" w:color="4BACC6" w:themeColor="accent5" w:sz="4" w:space="0"/>
              <w:right w:val="nil"/>
              <w:insideH w:val="single" w:sz="4" w:space="0"/>
              <w:insideV w:val="nil"/>
            </w:tcBorders>
            <w:shd w:val="clear" w:color="auto" w:fill="4BACC6" w:themeFill="accent5"/>
          </w:tcPr>
          <w:p>
            <w:pPr>
              <w:widowControl/>
              <w:jc w:val="center"/>
              <w:rPr>
                <w:b/>
                <w:bCs/>
                <w:color w:val="FFFFFF" w:themeColor="background1"/>
                <w:kern w:val="0"/>
                <w:sz w:val="21"/>
                <w:szCs w:val="21"/>
              </w:rPr>
            </w:pPr>
            <w:r>
              <w:rPr>
                <w:rFonts w:hint="eastAsia" w:hAnsiTheme="minorEastAsia"/>
                <w:b/>
                <w:bCs/>
                <w:color w:val="FFFFFF" w:themeColor="background1"/>
                <w:kern w:val="0"/>
                <w:sz w:val="21"/>
                <w:szCs w:val="21"/>
              </w:rPr>
              <w:t>专业</w:t>
            </w:r>
          </w:p>
        </w:tc>
        <w:tc>
          <w:tcPr>
            <w:tcW w:w="740" w:type="dxa"/>
            <w:tcBorders>
              <w:top w:val="single" w:color="4BACC6" w:themeColor="accent5" w:sz="4" w:space="0"/>
              <w:bottom w:val="single" w:color="4BACC6" w:themeColor="accent5" w:sz="4" w:space="0"/>
              <w:right w:val="nil"/>
              <w:insideH w:val="single" w:sz="4" w:space="0"/>
              <w:insideV w:val="nil"/>
            </w:tcBorders>
            <w:shd w:val="clear" w:color="auto" w:fill="4BACC6" w:themeFill="accent5"/>
          </w:tcPr>
          <w:p>
            <w:pPr>
              <w:widowControl/>
              <w:jc w:val="center"/>
              <w:rPr>
                <w:b/>
                <w:bCs/>
                <w:color w:val="FFFFFF" w:themeColor="background1"/>
                <w:kern w:val="0"/>
                <w:sz w:val="21"/>
                <w:szCs w:val="21"/>
              </w:rPr>
            </w:pPr>
            <w:r>
              <w:rPr>
                <w:rFonts w:hint="eastAsia"/>
                <w:b/>
                <w:bCs/>
                <w:color w:val="FFFFFF" w:themeColor="background1"/>
                <w:kern w:val="0"/>
                <w:sz w:val="21"/>
                <w:szCs w:val="21"/>
              </w:rPr>
              <w:t>人数</w:t>
            </w:r>
          </w:p>
        </w:tc>
        <w:tc>
          <w:tcPr>
            <w:tcW w:w="900" w:type="dxa"/>
            <w:tcBorders>
              <w:top w:val="single" w:color="4BACC6" w:themeColor="accent5" w:sz="4" w:space="0"/>
              <w:bottom w:val="single" w:color="4BACC6" w:themeColor="accent5" w:sz="4" w:space="0"/>
              <w:right w:val="single" w:color="4BACC6" w:themeColor="accent5" w:sz="4" w:space="0"/>
              <w:insideH w:val="single" w:sz="4" w:space="0"/>
              <w:insideV w:val="nil"/>
            </w:tcBorders>
            <w:shd w:val="clear" w:color="auto" w:fill="4BACC6" w:themeFill="accent5"/>
          </w:tcPr>
          <w:p>
            <w:pPr>
              <w:widowControl/>
              <w:jc w:val="center"/>
              <w:rPr>
                <w:b/>
                <w:bCs/>
                <w:color w:val="FFFFFF" w:themeColor="background1"/>
                <w:kern w:val="0"/>
                <w:sz w:val="21"/>
                <w:szCs w:val="21"/>
              </w:rPr>
            </w:pPr>
            <w:r>
              <w:rPr>
                <w:rFonts w:hint="eastAsia"/>
                <w:b/>
                <w:bCs/>
                <w:color w:val="FFFFFF" w:themeColor="background1"/>
                <w:kern w:val="0"/>
                <w:sz w:val="21"/>
                <w:szCs w:val="21"/>
              </w:rPr>
              <w:t>有效</w:t>
            </w:r>
            <w:r>
              <w:rPr>
                <w:b/>
                <w:bCs/>
                <w:color w:val="FFFFFF" w:themeColor="background1"/>
                <w:kern w:val="0"/>
                <w:sz w:val="21"/>
                <w:szCs w:val="21"/>
              </w:rPr>
              <w:t>%</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54" w:hRule="atLeast"/>
          <w:jc w:val="center"/>
        </w:trPr>
        <w:tc>
          <w:tcPr>
            <w:tcW w:w="1985" w:type="dxa"/>
            <w:vMerge w:val="restart"/>
            <w:shd w:val="clear" w:color="auto" w:fill="DAEEF3" w:themeFill="accent5" w:themeFillTint="33"/>
            <w:vAlign w:val="center"/>
          </w:tcPr>
          <w:p>
            <w:pPr>
              <w:widowControl/>
              <w:jc w:val="center"/>
              <w:rPr>
                <w:rFonts w:hAnsiTheme="minorEastAsia"/>
                <w:b/>
                <w:bCs/>
                <w:color w:val="000000"/>
                <w:kern w:val="0"/>
                <w:sz w:val="21"/>
                <w:szCs w:val="21"/>
              </w:rPr>
            </w:pPr>
            <w:r>
              <w:rPr>
                <w:rFonts w:hint="eastAsia" w:hAnsiTheme="minorEastAsia"/>
                <w:b/>
                <w:bCs/>
                <w:color w:val="000000"/>
                <w:kern w:val="0"/>
                <w:sz w:val="21"/>
                <w:szCs w:val="21"/>
              </w:rPr>
              <w:t>本科生</w:t>
            </w:r>
          </w:p>
          <w:p>
            <w:pPr>
              <w:jc w:val="center"/>
              <w:rPr>
                <w:rFonts w:hAnsiTheme="minorEastAsia"/>
                <w:b/>
                <w:bCs/>
                <w:color w:val="000000"/>
                <w:kern w:val="0"/>
                <w:sz w:val="21"/>
                <w:szCs w:val="21"/>
              </w:rPr>
            </w:pPr>
            <w:r>
              <w:rPr>
                <w:rFonts w:hint="eastAsia" w:hAnsiTheme="minorEastAsia"/>
                <w:b/>
                <w:bCs/>
                <w:color w:val="000000"/>
                <w:kern w:val="0"/>
                <w:sz w:val="21"/>
                <w:szCs w:val="21"/>
              </w:rPr>
              <w:t>（</w:t>
            </w:r>
            <w:r>
              <w:rPr>
                <w:rFonts w:hAnsiTheme="minorEastAsia"/>
                <w:b/>
                <w:bCs/>
                <w:color w:val="000000"/>
                <w:kern w:val="0"/>
                <w:sz w:val="21"/>
                <w:szCs w:val="21"/>
              </w:rPr>
              <w:t>N=274）</w:t>
            </w:r>
          </w:p>
        </w:tc>
        <w:tc>
          <w:tcPr>
            <w:tcW w:w="3402" w:type="dxa"/>
            <w:shd w:val="clear" w:color="auto" w:fill="DAEEF3" w:themeFill="accent5" w:themeFillTint="33"/>
            <w:vAlign w:val="center"/>
          </w:tcPr>
          <w:p>
            <w:pPr>
              <w:widowControl/>
              <w:jc w:val="left"/>
              <w:rPr>
                <w:rFonts w:hAnsiTheme="minorEastAsia"/>
                <w:color w:val="000000"/>
                <w:kern w:val="0"/>
                <w:sz w:val="21"/>
                <w:szCs w:val="21"/>
              </w:rPr>
            </w:pPr>
            <w:r>
              <w:rPr>
                <w:rFonts w:hint="eastAsia" w:hAnsiTheme="minorEastAsia"/>
                <w:color w:val="000000"/>
                <w:kern w:val="0"/>
                <w:sz w:val="21"/>
                <w:szCs w:val="21"/>
              </w:rPr>
              <w:t>表演</w:t>
            </w:r>
          </w:p>
        </w:tc>
        <w:tc>
          <w:tcPr>
            <w:tcW w:w="740"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19</w:t>
            </w:r>
          </w:p>
        </w:tc>
        <w:tc>
          <w:tcPr>
            <w:tcW w:w="900" w:type="dxa"/>
            <w:shd w:val="clear" w:color="auto" w:fill="DAEEF3" w:themeFill="accent5" w:themeFillTint="33"/>
            <w:vAlign w:val="center"/>
          </w:tcPr>
          <w:p>
            <w:pPr>
              <w:widowControl/>
              <w:jc w:val="center"/>
              <w:rPr>
                <w:rFonts w:ascii="Times New Roman" w:hAnsi="Times New Roman" w:cs="Times New Roman"/>
                <w:kern w:val="0"/>
                <w:sz w:val="21"/>
                <w:szCs w:val="21"/>
              </w:rPr>
            </w:pPr>
            <w:r>
              <w:rPr>
                <w:rFonts w:ascii="Times New Roman" w:hAnsi="Times New Roman" w:cs="Times New Roman"/>
                <w:kern w:val="0"/>
                <w:sz w:val="21"/>
                <w:szCs w:val="21"/>
              </w:rPr>
              <w:t>5.22</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54" w:hRule="atLeast"/>
          <w:jc w:val="center"/>
        </w:trPr>
        <w:tc>
          <w:tcPr>
            <w:tcW w:w="1985" w:type="dxa"/>
            <w:vMerge w:val="continue"/>
            <w:vAlign w:val="center"/>
          </w:tcPr>
          <w:p>
            <w:pPr>
              <w:widowControl/>
              <w:jc w:val="center"/>
              <w:rPr>
                <w:rFonts w:hAnsiTheme="minorEastAsia"/>
                <w:b/>
                <w:bCs/>
                <w:color w:val="000000"/>
                <w:kern w:val="0"/>
                <w:sz w:val="21"/>
                <w:szCs w:val="21"/>
              </w:rPr>
            </w:pPr>
          </w:p>
        </w:tc>
        <w:tc>
          <w:tcPr>
            <w:tcW w:w="3402" w:type="dxa"/>
            <w:vAlign w:val="center"/>
          </w:tcPr>
          <w:p>
            <w:pPr>
              <w:widowControl/>
              <w:jc w:val="left"/>
              <w:rPr>
                <w:rFonts w:hAnsiTheme="minorEastAsia"/>
                <w:color w:val="000000"/>
                <w:kern w:val="0"/>
                <w:sz w:val="21"/>
                <w:szCs w:val="21"/>
              </w:rPr>
            </w:pPr>
            <w:r>
              <w:rPr>
                <w:rFonts w:hint="eastAsia" w:hAnsiTheme="minorEastAsia"/>
                <w:color w:val="000000"/>
                <w:kern w:val="0"/>
                <w:sz w:val="21"/>
                <w:szCs w:val="21"/>
              </w:rPr>
              <w:t>表演（戏剧影视表演）</w:t>
            </w:r>
          </w:p>
        </w:tc>
        <w:tc>
          <w:tcPr>
            <w:tcW w:w="740"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38</w:t>
            </w:r>
          </w:p>
        </w:tc>
        <w:tc>
          <w:tcPr>
            <w:tcW w:w="900" w:type="dxa"/>
            <w:vAlign w:val="center"/>
          </w:tcPr>
          <w:p>
            <w:pPr>
              <w:widowControl/>
              <w:jc w:val="center"/>
              <w:rPr>
                <w:rFonts w:ascii="Times New Roman" w:hAnsi="Times New Roman" w:cs="Times New Roman"/>
                <w:kern w:val="0"/>
                <w:sz w:val="21"/>
                <w:szCs w:val="21"/>
              </w:rPr>
            </w:pPr>
            <w:r>
              <w:rPr>
                <w:rFonts w:ascii="Times New Roman" w:hAnsi="Times New Roman" w:cs="Times New Roman"/>
                <w:kern w:val="0"/>
                <w:sz w:val="21"/>
                <w:szCs w:val="21"/>
              </w:rPr>
              <w:t>10.44</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54" w:hRule="atLeast"/>
          <w:jc w:val="center"/>
        </w:trPr>
        <w:tc>
          <w:tcPr>
            <w:tcW w:w="1985" w:type="dxa"/>
            <w:vMerge w:val="continue"/>
            <w:shd w:val="clear" w:color="auto" w:fill="DAEEF3" w:themeFill="accent5" w:themeFillTint="33"/>
            <w:vAlign w:val="center"/>
          </w:tcPr>
          <w:p>
            <w:pPr>
              <w:widowControl/>
              <w:jc w:val="center"/>
              <w:rPr>
                <w:rFonts w:hAnsiTheme="minorEastAsia"/>
                <w:b/>
                <w:bCs/>
                <w:color w:val="000000"/>
                <w:kern w:val="0"/>
                <w:sz w:val="21"/>
                <w:szCs w:val="21"/>
              </w:rPr>
            </w:pPr>
          </w:p>
        </w:tc>
        <w:tc>
          <w:tcPr>
            <w:tcW w:w="3402" w:type="dxa"/>
            <w:shd w:val="clear" w:color="auto" w:fill="DAEEF3" w:themeFill="accent5" w:themeFillTint="33"/>
            <w:vAlign w:val="center"/>
          </w:tcPr>
          <w:p>
            <w:pPr>
              <w:widowControl/>
              <w:jc w:val="left"/>
              <w:rPr>
                <w:rFonts w:hAnsiTheme="minorEastAsia"/>
                <w:color w:val="000000"/>
                <w:kern w:val="0"/>
                <w:sz w:val="21"/>
                <w:szCs w:val="21"/>
              </w:rPr>
            </w:pPr>
            <w:r>
              <w:rPr>
                <w:rFonts w:hint="eastAsia" w:hAnsiTheme="minorEastAsia"/>
                <w:color w:val="000000"/>
                <w:kern w:val="0"/>
                <w:sz w:val="21"/>
                <w:szCs w:val="21"/>
              </w:rPr>
              <w:t>表演（音乐剧）</w:t>
            </w:r>
          </w:p>
        </w:tc>
        <w:tc>
          <w:tcPr>
            <w:tcW w:w="740"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25</w:t>
            </w:r>
          </w:p>
        </w:tc>
        <w:tc>
          <w:tcPr>
            <w:tcW w:w="900" w:type="dxa"/>
            <w:shd w:val="clear" w:color="auto" w:fill="DAEEF3" w:themeFill="accent5" w:themeFillTint="33"/>
            <w:vAlign w:val="center"/>
          </w:tcPr>
          <w:p>
            <w:pPr>
              <w:widowControl/>
              <w:jc w:val="center"/>
              <w:rPr>
                <w:rFonts w:ascii="Times New Roman" w:hAnsi="Times New Roman" w:cs="Times New Roman"/>
                <w:kern w:val="0"/>
                <w:sz w:val="21"/>
                <w:szCs w:val="21"/>
              </w:rPr>
            </w:pPr>
            <w:r>
              <w:rPr>
                <w:rFonts w:ascii="Times New Roman" w:hAnsi="Times New Roman" w:cs="Times New Roman"/>
                <w:kern w:val="0"/>
                <w:sz w:val="21"/>
                <w:szCs w:val="21"/>
              </w:rPr>
              <w:t>6.87</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54" w:hRule="atLeast"/>
          <w:jc w:val="center"/>
        </w:trPr>
        <w:tc>
          <w:tcPr>
            <w:tcW w:w="1985" w:type="dxa"/>
            <w:vMerge w:val="continue"/>
            <w:vAlign w:val="center"/>
          </w:tcPr>
          <w:p>
            <w:pPr>
              <w:widowControl/>
              <w:jc w:val="center"/>
              <w:rPr>
                <w:rFonts w:hAnsiTheme="minorEastAsia"/>
                <w:b/>
                <w:bCs/>
                <w:color w:val="000000"/>
                <w:kern w:val="0"/>
                <w:sz w:val="21"/>
                <w:szCs w:val="21"/>
              </w:rPr>
            </w:pPr>
          </w:p>
        </w:tc>
        <w:tc>
          <w:tcPr>
            <w:tcW w:w="3402" w:type="dxa"/>
            <w:vAlign w:val="center"/>
          </w:tcPr>
          <w:p>
            <w:pPr>
              <w:widowControl/>
              <w:jc w:val="left"/>
              <w:rPr>
                <w:rFonts w:hAnsiTheme="minorEastAsia"/>
                <w:color w:val="000000"/>
                <w:kern w:val="0"/>
                <w:sz w:val="21"/>
                <w:szCs w:val="21"/>
              </w:rPr>
            </w:pPr>
            <w:r>
              <w:rPr>
                <w:rFonts w:hint="eastAsia" w:hAnsiTheme="minorEastAsia"/>
                <w:color w:val="000000"/>
                <w:kern w:val="0"/>
                <w:sz w:val="21"/>
                <w:szCs w:val="21"/>
              </w:rPr>
              <w:t>导演（演出制作）</w:t>
            </w:r>
          </w:p>
        </w:tc>
        <w:tc>
          <w:tcPr>
            <w:tcW w:w="740"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w:t>
            </w:r>
          </w:p>
        </w:tc>
        <w:tc>
          <w:tcPr>
            <w:tcW w:w="900" w:type="dxa"/>
            <w:vAlign w:val="center"/>
          </w:tcPr>
          <w:p>
            <w:pPr>
              <w:widowControl/>
              <w:jc w:val="center"/>
              <w:rPr>
                <w:rFonts w:ascii="Times New Roman" w:hAnsi="Times New Roman" w:cs="Times New Roman"/>
                <w:kern w:val="0"/>
                <w:sz w:val="21"/>
                <w:szCs w:val="21"/>
              </w:rPr>
            </w:pPr>
            <w:r>
              <w:rPr>
                <w:rFonts w:ascii="Times New Roman" w:hAnsi="Times New Roman" w:cs="Times New Roman"/>
                <w:kern w:val="0"/>
                <w:sz w:val="21"/>
                <w:szCs w:val="21"/>
              </w:rPr>
              <w:t>0.27</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54" w:hRule="atLeast"/>
          <w:jc w:val="center"/>
        </w:trPr>
        <w:tc>
          <w:tcPr>
            <w:tcW w:w="1985" w:type="dxa"/>
            <w:vMerge w:val="continue"/>
            <w:shd w:val="clear" w:color="auto" w:fill="DAEEF3" w:themeFill="accent5" w:themeFillTint="33"/>
            <w:vAlign w:val="center"/>
          </w:tcPr>
          <w:p>
            <w:pPr>
              <w:widowControl/>
              <w:jc w:val="center"/>
              <w:rPr>
                <w:rFonts w:hAnsiTheme="minorEastAsia"/>
                <w:b/>
                <w:bCs/>
                <w:color w:val="000000"/>
                <w:kern w:val="0"/>
                <w:sz w:val="21"/>
                <w:szCs w:val="21"/>
              </w:rPr>
            </w:pPr>
          </w:p>
        </w:tc>
        <w:tc>
          <w:tcPr>
            <w:tcW w:w="3402" w:type="dxa"/>
            <w:shd w:val="clear" w:color="auto" w:fill="DAEEF3" w:themeFill="accent5" w:themeFillTint="33"/>
            <w:vAlign w:val="center"/>
          </w:tcPr>
          <w:p>
            <w:pPr>
              <w:widowControl/>
              <w:jc w:val="left"/>
              <w:rPr>
                <w:rFonts w:hAnsiTheme="minorEastAsia"/>
                <w:color w:val="000000"/>
                <w:kern w:val="0"/>
                <w:sz w:val="21"/>
                <w:szCs w:val="21"/>
              </w:rPr>
            </w:pPr>
            <w:r>
              <w:rPr>
                <w:rFonts w:hint="eastAsia" w:hAnsiTheme="minorEastAsia"/>
                <w:color w:val="000000"/>
                <w:kern w:val="0"/>
                <w:sz w:val="21"/>
                <w:szCs w:val="21"/>
              </w:rPr>
              <w:t>导演（影视编导）</w:t>
            </w:r>
          </w:p>
        </w:tc>
        <w:tc>
          <w:tcPr>
            <w:tcW w:w="740"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w:t>
            </w:r>
          </w:p>
        </w:tc>
        <w:tc>
          <w:tcPr>
            <w:tcW w:w="900" w:type="dxa"/>
            <w:shd w:val="clear" w:color="auto" w:fill="DAEEF3" w:themeFill="accent5" w:themeFillTint="33"/>
            <w:vAlign w:val="center"/>
          </w:tcPr>
          <w:p>
            <w:pPr>
              <w:widowControl/>
              <w:jc w:val="center"/>
              <w:rPr>
                <w:rFonts w:ascii="Times New Roman" w:hAnsi="Times New Roman" w:cs="Times New Roman"/>
                <w:kern w:val="0"/>
                <w:sz w:val="21"/>
                <w:szCs w:val="21"/>
              </w:rPr>
            </w:pPr>
            <w:r>
              <w:rPr>
                <w:rFonts w:ascii="Times New Roman" w:hAnsi="Times New Roman" w:cs="Times New Roman"/>
                <w:kern w:val="0"/>
                <w:sz w:val="21"/>
                <w:szCs w:val="21"/>
              </w:rPr>
              <w:t>0.82</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54" w:hRule="atLeast"/>
          <w:jc w:val="center"/>
        </w:trPr>
        <w:tc>
          <w:tcPr>
            <w:tcW w:w="1985" w:type="dxa"/>
            <w:vMerge w:val="continue"/>
            <w:vAlign w:val="center"/>
          </w:tcPr>
          <w:p>
            <w:pPr>
              <w:widowControl/>
              <w:jc w:val="center"/>
              <w:rPr>
                <w:rFonts w:hAnsiTheme="minorEastAsia"/>
                <w:b/>
                <w:bCs/>
                <w:color w:val="000000"/>
                <w:kern w:val="0"/>
                <w:sz w:val="21"/>
                <w:szCs w:val="21"/>
              </w:rPr>
            </w:pPr>
          </w:p>
        </w:tc>
        <w:tc>
          <w:tcPr>
            <w:tcW w:w="3402" w:type="dxa"/>
            <w:vAlign w:val="center"/>
          </w:tcPr>
          <w:p>
            <w:pPr>
              <w:widowControl/>
              <w:jc w:val="left"/>
              <w:rPr>
                <w:rFonts w:hAnsiTheme="minorEastAsia"/>
                <w:color w:val="000000"/>
                <w:kern w:val="0"/>
                <w:sz w:val="21"/>
                <w:szCs w:val="21"/>
              </w:rPr>
            </w:pPr>
            <w:r>
              <w:rPr>
                <w:rFonts w:hint="eastAsia" w:hAnsiTheme="minorEastAsia"/>
                <w:color w:val="000000"/>
                <w:kern w:val="0"/>
                <w:sz w:val="21"/>
                <w:szCs w:val="21"/>
              </w:rPr>
              <w:t>戏剧学</w:t>
            </w:r>
            <w:r>
              <w:rPr>
                <w:rFonts w:hAnsiTheme="minorEastAsia"/>
                <w:color w:val="000000"/>
                <w:kern w:val="0"/>
                <w:sz w:val="21"/>
                <w:szCs w:val="21"/>
              </w:rPr>
              <w:t>(戏剧史论与批评)</w:t>
            </w:r>
          </w:p>
        </w:tc>
        <w:tc>
          <w:tcPr>
            <w:tcW w:w="740"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32</w:t>
            </w:r>
          </w:p>
        </w:tc>
        <w:tc>
          <w:tcPr>
            <w:tcW w:w="900" w:type="dxa"/>
            <w:vAlign w:val="center"/>
          </w:tcPr>
          <w:p>
            <w:pPr>
              <w:widowControl/>
              <w:jc w:val="center"/>
              <w:rPr>
                <w:rFonts w:ascii="Times New Roman" w:hAnsi="Times New Roman" w:cs="Times New Roman"/>
                <w:kern w:val="0"/>
                <w:sz w:val="21"/>
                <w:szCs w:val="21"/>
              </w:rPr>
            </w:pPr>
            <w:r>
              <w:rPr>
                <w:rFonts w:ascii="Times New Roman" w:hAnsi="Times New Roman" w:cs="Times New Roman"/>
                <w:kern w:val="0"/>
                <w:sz w:val="21"/>
                <w:szCs w:val="21"/>
              </w:rPr>
              <w:t>8.79</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54" w:hRule="atLeast"/>
          <w:jc w:val="center"/>
        </w:trPr>
        <w:tc>
          <w:tcPr>
            <w:tcW w:w="1985" w:type="dxa"/>
            <w:vMerge w:val="continue"/>
            <w:shd w:val="clear" w:color="auto" w:fill="DAEEF3" w:themeFill="accent5" w:themeFillTint="33"/>
            <w:vAlign w:val="center"/>
          </w:tcPr>
          <w:p>
            <w:pPr>
              <w:widowControl/>
              <w:jc w:val="center"/>
              <w:rPr>
                <w:rFonts w:hAnsiTheme="minorEastAsia"/>
                <w:b/>
                <w:bCs/>
                <w:color w:val="000000"/>
                <w:kern w:val="0"/>
                <w:sz w:val="21"/>
                <w:szCs w:val="21"/>
              </w:rPr>
            </w:pPr>
          </w:p>
        </w:tc>
        <w:tc>
          <w:tcPr>
            <w:tcW w:w="3402" w:type="dxa"/>
            <w:shd w:val="clear" w:color="auto" w:fill="DAEEF3" w:themeFill="accent5" w:themeFillTint="33"/>
            <w:vAlign w:val="center"/>
          </w:tcPr>
          <w:p>
            <w:pPr>
              <w:widowControl/>
              <w:jc w:val="left"/>
              <w:rPr>
                <w:rFonts w:hAnsiTheme="minorEastAsia"/>
                <w:color w:val="000000"/>
                <w:kern w:val="0"/>
                <w:sz w:val="21"/>
                <w:szCs w:val="21"/>
              </w:rPr>
            </w:pPr>
            <w:r>
              <w:rPr>
                <w:rFonts w:hint="eastAsia" w:hAnsiTheme="minorEastAsia"/>
                <w:color w:val="000000"/>
                <w:kern w:val="0"/>
                <w:sz w:val="21"/>
                <w:szCs w:val="21"/>
              </w:rPr>
              <w:t>戏剧影视导演</w:t>
            </w:r>
          </w:p>
        </w:tc>
        <w:tc>
          <w:tcPr>
            <w:tcW w:w="740"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83</w:t>
            </w:r>
          </w:p>
        </w:tc>
        <w:tc>
          <w:tcPr>
            <w:tcW w:w="900" w:type="dxa"/>
            <w:shd w:val="clear" w:color="auto" w:fill="DAEEF3" w:themeFill="accent5" w:themeFillTint="33"/>
            <w:vAlign w:val="center"/>
          </w:tcPr>
          <w:p>
            <w:pPr>
              <w:widowControl/>
              <w:jc w:val="center"/>
              <w:rPr>
                <w:rFonts w:ascii="Times New Roman" w:hAnsi="Times New Roman" w:cs="Times New Roman"/>
                <w:kern w:val="0"/>
                <w:sz w:val="21"/>
                <w:szCs w:val="21"/>
              </w:rPr>
            </w:pPr>
            <w:r>
              <w:rPr>
                <w:rFonts w:ascii="Times New Roman" w:hAnsi="Times New Roman" w:cs="Times New Roman"/>
                <w:kern w:val="0"/>
                <w:sz w:val="21"/>
                <w:szCs w:val="21"/>
              </w:rPr>
              <w:t>22.80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54" w:hRule="atLeast"/>
          <w:jc w:val="center"/>
        </w:trPr>
        <w:tc>
          <w:tcPr>
            <w:tcW w:w="1985" w:type="dxa"/>
            <w:vMerge w:val="continue"/>
            <w:vAlign w:val="center"/>
          </w:tcPr>
          <w:p>
            <w:pPr>
              <w:widowControl/>
              <w:jc w:val="center"/>
              <w:rPr>
                <w:rFonts w:hAnsiTheme="minorEastAsia"/>
                <w:b/>
                <w:bCs/>
                <w:color w:val="000000"/>
                <w:kern w:val="0"/>
                <w:sz w:val="21"/>
                <w:szCs w:val="21"/>
              </w:rPr>
            </w:pPr>
          </w:p>
        </w:tc>
        <w:tc>
          <w:tcPr>
            <w:tcW w:w="3402" w:type="dxa"/>
            <w:vAlign w:val="center"/>
          </w:tcPr>
          <w:p>
            <w:pPr>
              <w:widowControl/>
              <w:jc w:val="left"/>
              <w:rPr>
                <w:rFonts w:hAnsiTheme="minorEastAsia"/>
                <w:color w:val="000000"/>
                <w:kern w:val="0"/>
                <w:sz w:val="21"/>
                <w:szCs w:val="21"/>
              </w:rPr>
            </w:pPr>
            <w:r>
              <w:rPr>
                <w:rFonts w:hint="eastAsia" w:hAnsiTheme="minorEastAsia"/>
                <w:color w:val="000000"/>
                <w:kern w:val="0"/>
                <w:sz w:val="21"/>
                <w:szCs w:val="21"/>
              </w:rPr>
              <w:t>戏剧影视美术设计</w:t>
            </w:r>
            <w:r>
              <w:rPr>
                <w:rFonts w:hAnsiTheme="minorEastAsia"/>
                <w:color w:val="000000"/>
                <w:kern w:val="0"/>
                <w:sz w:val="21"/>
                <w:szCs w:val="21"/>
              </w:rPr>
              <w:t>(舞台灯光)</w:t>
            </w:r>
          </w:p>
        </w:tc>
        <w:tc>
          <w:tcPr>
            <w:tcW w:w="740"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13</w:t>
            </w:r>
          </w:p>
        </w:tc>
        <w:tc>
          <w:tcPr>
            <w:tcW w:w="900" w:type="dxa"/>
            <w:vAlign w:val="center"/>
          </w:tcPr>
          <w:p>
            <w:pPr>
              <w:widowControl/>
              <w:jc w:val="center"/>
              <w:rPr>
                <w:rFonts w:ascii="Times New Roman" w:hAnsi="Times New Roman" w:cs="Times New Roman"/>
                <w:kern w:val="0"/>
                <w:sz w:val="21"/>
                <w:szCs w:val="21"/>
              </w:rPr>
            </w:pPr>
            <w:r>
              <w:rPr>
                <w:rFonts w:ascii="Times New Roman" w:hAnsi="Times New Roman" w:cs="Times New Roman"/>
                <w:kern w:val="0"/>
                <w:sz w:val="21"/>
                <w:szCs w:val="21"/>
              </w:rPr>
              <w:t>3.57</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54" w:hRule="atLeast"/>
          <w:jc w:val="center"/>
        </w:trPr>
        <w:tc>
          <w:tcPr>
            <w:tcW w:w="1985" w:type="dxa"/>
            <w:vMerge w:val="continue"/>
            <w:shd w:val="clear" w:color="auto" w:fill="DAEEF3" w:themeFill="accent5" w:themeFillTint="33"/>
            <w:vAlign w:val="center"/>
          </w:tcPr>
          <w:p>
            <w:pPr>
              <w:widowControl/>
              <w:jc w:val="center"/>
              <w:rPr>
                <w:rFonts w:hAnsiTheme="minorEastAsia"/>
                <w:b/>
                <w:bCs/>
                <w:color w:val="000000"/>
                <w:kern w:val="0"/>
                <w:sz w:val="21"/>
                <w:szCs w:val="21"/>
              </w:rPr>
            </w:pPr>
          </w:p>
        </w:tc>
        <w:tc>
          <w:tcPr>
            <w:tcW w:w="3402" w:type="dxa"/>
            <w:shd w:val="clear" w:color="auto" w:fill="DAEEF3" w:themeFill="accent5" w:themeFillTint="33"/>
            <w:vAlign w:val="center"/>
          </w:tcPr>
          <w:p>
            <w:pPr>
              <w:widowControl/>
              <w:jc w:val="left"/>
              <w:rPr>
                <w:rFonts w:hAnsiTheme="minorEastAsia"/>
                <w:color w:val="000000"/>
                <w:kern w:val="0"/>
                <w:sz w:val="21"/>
                <w:szCs w:val="21"/>
              </w:rPr>
            </w:pPr>
            <w:r>
              <w:rPr>
                <w:rFonts w:hint="eastAsia" w:hAnsiTheme="minorEastAsia"/>
                <w:color w:val="000000"/>
                <w:kern w:val="0"/>
                <w:sz w:val="21"/>
                <w:szCs w:val="21"/>
              </w:rPr>
              <w:t>戏剧影视美术设计</w:t>
            </w:r>
            <w:r>
              <w:rPr>
                <w:rFonts w:hAnsiTheme="minorEastAsia"/>
                <w:color w:val="000000"/>
                <w:kern w:val="0"/>
                <w:sz w:val="21"/>
                <w:szCs w:val="21"/>
              </w:rPr>
              <w:t>(舞台服装)</w:t>
            </w:r>
          </w:p>
        </w:tc>
        <w:tc>
          <w:tcPr>
            <w:tcW w:w="740"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16</w:t>
            </w:r>
          </w:p>
        </w:tc>
        <w:tc>
          <w:tcPr>
            <w:tcW w:w="900" w:type="dxa"/>
            <w:shd w:val="clear" w:color="auto" w:fill="DAEEF3" w:themeFill="accent5" w:themeFillTint="33"/>
            <w:vAlign w:val="center"/>
          </w:tcPr>
          <w:p>
            <w:pPr>
              <w:widowControl/>
              <w:jc w:val="center"/>
              <w:rPr>
                <w:rFonts w:ascii="Times New Roman" w:hAnsi="Times New Roman" w:cs="Times New Roman"/>
                <w:kern w:val="0"/>
                <w:sz w:val="21"/>
                <w:szCs w:val="21"/>
              </w:rPr>
            </w:pPr>
            <w:r>
              <w:rPr>
                <w:rFonts w:ascii="Times New Roman" w:hAnsi="Times New Roman" w:cs="Times New Roman"/>
                <w:kern w:val="0"/>
                <w:sz w:val="21"/>
                <w:szCs w:val="21"/>
              </w:rPr>
              <w:t>4.40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54" w:hRule="atLeast"/>
          <w:jc w:val="center"/>
        </w:trPr>
        <w:tc>
          <w:tcPr>
            <w:tcW w:w="1985" w:type="dxa"/>
            <w:vMerge w:val="continue"/>
            <w:vAlign w:val="center"/>
          </w:tcPr>
          <w:p>
            <w:pPr>
              <w:widowControl/>
              <w:jc w:val="center"/>
              <w:rPr>
                <w:rFonts w:hAnsiTheme="minorEastAsia"/>
                <w:b/>
                <w:bCs/>
                <w:color w:val="000000"/>
                <w:kern w:val="0"/>
                <w:sz w:val="21"/>
                <w:szCs w:val="21"/>
              </w:rPr>
            </w:pPr>
          </w:p>
        </w:tc>
        <w:tc>
          <w:tcPr>
            <w:tcW w:w="3402" w:type="dxa"/>
            <w:vAlign w:val="center"/>
          </w:tcPr>
          <w:p>
            <w:pPr>
              <w:widowControl/>
              <w:jc w:val="left"/>
              <w:rPr>
                <w:rFonts w:hAnsiTheme="minorEastAsia"/>
                <w:color w:val="000000"/>
                <w:kern w:val="0"/>
                <w:sz w:val="21"/>
                <w:szCs w:val="21"/>
              </w:rPr>
            </w:pPr>
            <w:r>
              <w:rPr>
                <w:rFonts w:hint="eastAsia" w:hAnsiTheme="minorEastAsia"/>
                <w:color w:val="000000"/>
                <w:kern w:val="0"/>
                <w:sz w:val="21"/>
                <w:szCs w:val="21"/>
              </w:rPr>
              <w:t>戏剧影视美术设计</w:t>
            </w:r>
            <w:r>
              <w:rPr>
                <w:rFonts w:hAnsiTheme="minorEastAsia"/>
                <w:color w:val="000000"/>
                <w:kern w:val="0"/>
                <w:sz w:val="21"/>
                <w:szCs w:val="21"/>
              </w:rPr>
              <w:t>(舞台化装)</w:t>
            </w:r>
          </w:p>
        </w:tc>
        <w:tc>
          <w:tcPr>
            <w:tcW w:w="740"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17</w:t>
            </w:r>
          </w:p>
        </w:tc>
        <w:tc>
          <w:tcPr>
            <w:tcW w:w="900" w:type="dxa"/>
            <w:vAlign w:val="center"/>
          </w:tcPr>
          <w:p>
            <w:pPr>
              <w:widowControl/>
              <w:jc w:val="center"/>
              <w:rPr>
                <w:rFonts w:ascii="Times New Roman" w:hAnsi="Times New Roman" w:cs="Times New Roman"/>
                <w:kern w:val="0"/>
                <w:sz w:val="21"/>
                <w:szCs w:val="21"/>
              </w:rPr>
            </w:pPr>
            <w:r>
              <w:rPr>
                <w:rFonts w:ascii="Times New Roman" w:hAnsi="Times New Roman" w:cs="Times New Roman"/>
                <w:kern w:val="0"/>
                <w:sz w:val="21"/>
                <w:szCs w:val="21"/>
              </w:rPr>
              <w:t>4.67</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54" w:hRule="atLeast"/>
          <w:jc w:val="center"/>
        </w:trPr>
        <w:tc>
          <w:tcPr>
            <w:tcW w:w="1985" w:type="dxa"/>
            <w:vMerge w:val="continue"/>
            <w:shd w:val="clear" w:color="auto" w:fill="DAEEF3" w:themeFill="accent5" w:themeFillTint="33"/>
            <w:vAlign w:val="center"/>
          </w:tcPr>
          <w:p>
            <w:pPr>
              <w:widowControl/>
              <w:jc w:val="center"/>
              <w:rPr>
                <w:rFonts w:hAnsiTheme="minorEastAsia"/>
                <w:b/>
                <w:bCs/>
                <w:color w:val="000000"/>
                <w:kern w:val="0"/>
                <w:sz w:val="21"/>
                <w:szCs w:val="21"/>
              </w:rPr>
            </w:pPr>
          </w:p>
        </w:tc>
        <w:tc>
          <w:tcPr>
            <w:tcW w:w="3402" w:type="dxa"/>
            <w:shd w:val="clear" w:color="auto" w:fill="DAEEF3" w:themeFill="accent5" w:themeFillTint="33"/>
            <w:vAlign w:val="center"/>
          </w:tcPr>
          <w:p>
            <w:pPr>
              <w:widowControl/>
              <w:jc w:val="left"/>
              <w:rPr>
                <w:rFonts w:hAnsiTheme="minorEastAsia"/>
                <w:color w:val="000000"/>
                <w:kern w:val="0"/>
                <w:sz w:val="21"/>
                <w:szCs w:val="21"/>
              </w:rPr>
            </w:pPr>
            <w:r>
              <w:rPr>
                <w:rFonts w:hint="eastAsia" w:hAnsiTheme="minorEastAsia"/>
                <w:color w:val="000000"/>
                <w:kern w:val="0"/>
                <w:sz w:val="21"/>
                <w:szCs w:val="21"/>
              </w:rPr>
              <w:t>戏剧影视美术设计</w:t>
            </w:r>
            <w:r>
              <w:rPr>
                <w:rFonts w:hAnsiTheme="minorEastAsia"/>
                <w:color w:val="000000"/>
                <w:kern w:val="0"/>
                <w:sz w:val="21"/>
                <w:szCs w:val="21"/>
              </w:rPr>
              <w:t>(舞台技术)</w:t>
            </w:r>
          </w:p>
        </w:tc>
        <w:tc>
          <w:tcPr>
            <w:tcW w:w="740"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16</w:t>
            </w:r>
          </w:p>
        </w:tc>
        <w:tc>
          <w:tcPr>
            <w:tcW w:w="900" w:type="dxa"/>
            <w:shd w:val="clear" w:color="auto" w:fill="DAEEF3" w:themeFill="accent5" w:themeFillTint="33"/>
            <w:vAlign w:val="center"/>
          </w:tcPr>
          <w:p>
            <w:pPr>
              <w:widowControl/>
              <w:jc w:val="center"/>
              <w:rPr>
                <w:rFonts w:ascii="Times New Roman" w:hAnsi="Times New Roman" w:cs="Times New Roman"/>
                <w:kern w:val="0"/>
                <w:sz w:val="21"/>
                <w:szCs w:val="21"/>
              </w:rPr>
            </w:pPr>
            <w:r>
              <w:rPr>
                <w:rFonts w:ascii="Times New Roman" w:hAnsi="Times New Roman" w:cs="Times New Roman"/>
                <w:kern w:val="0"/>
                <w:sz w:val="21"/>
                <w:szCs w:val="21"/>
              </w:rPr>
              <w:t>4.40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54" w:hRule="atLeast"/>
          <w:jc w:val="center"/>
        </w:trPr>
        <w:tc>
          <w:tcPr>
            <w:tcW w:w="1985" w:type="dxa"/>
            <w:vMerge w:val="continue"/>
            <w:vAlign w:val="center"/>
          </w:tcPr>
          <w:p>
            <w:pPr>
              <w:widowControl/>
              <w:jc w:val="center"/>
              <w:rPr>
                <w:rFonts w:hAnsiTheme="minorEastAsia"/>
                <w:b/>
                <w:bCs/>
                <w:color w:val="000000"/>
                <w:kern w:val="0"/>
                <w:sz w:val="21"/>
                <w:szCs w:val="21"/>
              </w:rPr>
            </w:pPr>
          </w:p>
        </w:tc>
        <w:tc>
          <w:tcPr>
            <w:tcW w:w="3402" w:type="dxa"/>
            <w:vAlign w:val="center"/>
          </w:tcPr>
          <w:p>
            <w:pPr>
              <w:widowControl/>
              <w:jc w:val="left"/>
              <w:rPr>
                <w:rFonts w:hAnsiTheme="minorEastAsia"/>
                <w:color w:val="000000"/>
                <w:kern w:val="0"/>
                <w:sz w:val="21"/>
                <w:szCs w:val="21"/>
              </w:rPr>
            </w:pPr>
            <w:r>
              <w:rPr>
                <w:rFonts w:hint="eastAsia" w:hAnsiTheme="minorEastAsia"/>
                <w:color w:val="000000"/>
                <w:kern w:val="0"/>
                <w:sz w:val="21"/>
                <w:szCs w:val="21"/>
              </w:rPr>
              <w:t>戏剧影视文学</w:t>
            </w:r>
            <w:r>
              <w:rPr>
                <w:rFonts w:hAnsiTheme="minorEastAsia"/>
                <w:color w:val="000000"/>
                <w:kern w:val="0"/>
                <w:sz w:val="21"/>
                <w:szCs w:val="21"/>
              </w:rPr>
              <w:t>(电视剧创作)</w:t>
            </w:r>
          </w:p>
        </w:tc>
        <w:tc>
          <w:tcPr>
            <w:tcW w:w="740"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11</w:t>
            </w:r>
          </w:p>
        </w:tc>
        <w:tc>
          <w:tcPr>
            <w:tcW w:w="900" w:type="dxa"/>
            <w:vAlign w:val="center"/>
          </w:tcPr>
          <w:p>
            <w:pPr>
              <w:widowControl/>
              <w:jc w:val="center"/>
              <w:rPr>
                <w:rFonts w:ascii="Times New Roman" w:hAnsi="Times New Roman" w:cs="Times New Roman"/>
                <w:kern w:val="0"/>
                <w:sz w:val="21"/>
                <w:szCs w:val="21"/>
              </w:rPr>
            </w:pPr>
            <w:r>
              <w:rPr>
                <w:rFonts w:ascii="Times New Roman" w:hAnsi="Times New Roman" w:cs="Times New Roman"/>
                <w:kern w:val="0"/>
                <w:sz w:val="21"/>
                <w:szCs w:val="21"/>
              </w:rPr>
              <w:t>3.02</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54" w:hRule="atLeast"/>
          <w:jc w:val="center"/>
        </w:trPr>
        <w:tc>
          <w:tcPr>
            <w:tcW w:w="1985" w:type="dxa"/>
            <w:vMerge w:val="restart"/>
            <w:shd w:val="clear" w:color="auto" w:fill="FFFFFF" w:themeFill="background1"/>
            <w:vAlign w:val="center"/>
          </w:tcPr>
          <w:p>
            <w:pPr>
              <w:widowControl/>
              <w:jc w:val="center"/>
              <w:rPr>
                <w:rFonts w:hAnsiTheme="minorEastAsia"/>
                <w:b/>
                <w:bCs/>
                <w:color w:val="000000"/>
                <w:kern w:val="0"/>
                <w:sz w:val="21"/>
                <w:szCs w:val="21"/>
              </w:rPr>
            </w:pPr>
            <w:r>
              <w:rPr>
                <w:rFonts w:hint="eastAsia" w:hAnsiTheme="minorEastAsia"/>
                <w:b/>
                <w:bCs/>
                <w:color w:val="000000"/>
                <w:kern w:val="0"/>
                <w:sz w:val="21"/>
                <w:szCs w:val="21"/>
              </w:rPr>
              <w:t>硕士生</w:t>
            </w:r>
          </w:p>
          <w:p>
            <w:pPr>
              <w:jc w:val="center"/>
              <w:rPr>
                <w:rFonts w:hAnsiTheme="minorEastAsia"/>
                <w:b/>
                <w:bCs/>
                <w:color w:val="000000"/>
                <w:kern w:val="0"/>
                <w:sz w:val="21"/>
                <w:szCs w:val="21"/>
              </w:rPr>
            </w:pPr>
            <w:r>
              <w:rPr>
                <w:rFonts w:hint="eastAsia" w:hAnsiTheme="minorEastAsia"/>
                <w:b/>
                <w:bCs/>
                <w:color w:val="000000"/>
                <w:kern w:val="0"/>
                <w:sz w:val="21"/>
                <w:szCs w:val="21"/>
              </w:rPr>
              <w:t>（</w:t>
            </w:r>
            <w:r>
              <w:rPr>
                <w:rFonts w:hAnsiTheme="minorEastAsia"/>
                <w:b/>
                <w:bCs/>
                <w:color w:val="000000"/>
                <w:kern w:val="0"/>
                <w:sz w:val="21"/>
                <w:szCs w:val="21"/>
              </w:rPr>
              <w:t>N=71）</w:t>
            </w:r>
          </w:p>
        </w:tc>
        <w:tc>
          <w:tcPr>
            <w:tcW w:w="3402" w:type="dxa"/>
            <w:shd w:val="clear" w:color="auto" w:fill="DAEEF3" w:themeFill="accent5" w:themeFillTint="33"/>
            <w:vAlign w:val="center"/>
          </w:tcPr>
          <w:p>
            <w:pPr>
              <w:widowControl/>
              <w:jc w:val="left"/>
              <w:rPr>
                <w:rFonts w:hAnsiTheme="minorEastAsia"/>
                <w:color w:val="000000"/>
                <w:kern w:val="0"/>
                <w:sz w:val="21"/>
                <w:szCs w:val="21"/>
              </w:rPr>
            </w:pPr>
            <w:r>
              <w:rPr>
                <w:rFonts w:hint="eastAsia" w:hAnsiTheme="minorEastAsia"/>
                <w:color w:val="000000"/>
                <w:kern w:val="0"/>
                <w:sz w:val="21"/>
                <w:szCs w:val="21"/>
              </w:rPr>
              <w:t>戏剧</w:t>
            </w:r>
          </w:p>
        </w:tc>
        <w:tc>
          <w:tcPr>
            <w:tcW w:w="740"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26</w:t>
            </w:r>
          </w:p>
        </w:tc>
        <w:tc>
          <w:tcPr>
            <w:tcW w:w="900" w:type="dxa"/>
            <w:shd w:val="clear" w:color="auto" w:fill="DAEEF3" w:themeFill="accent5" w:themeFillTint="33"/>
            <w:vAlign w:val="center"/>
          </w:tcPr>
          <w:p>
            <w:pPr>
              <w:widowControl/>
              <w:jc w:val="center"/>
              <w:rPr>
                <w:rFonts w:ascii="Times New Roman" w:hAnsi="Times New Roman" w:cs="Times New Roman"/>
                <w:kern w:val="0"/>
                <w:sz w:val="21"/>
                <w:szCs w:val="21"/>
              </w:rPr>
            </w:pPr>
            <w:r>
              <w:rPr>
                <w:rFonts w:ascii="Times New Roman" w:hAnsi="Times New Roman" w:cs="Times New Roman"/>
                <w:kern w:val="0"/>
                <w:sz w:val="21"/>
                <w:szCs w:val="21"/>
              </w:rPr>
              <w:t>7.14</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54" w:hRule="atLeast"/>
          <w:jc w:val="center"/>
        </w:trPr>
        <w:tc>
          <w:tcPr>
            <w:tcW w:w="1985" w:type="dxa"/>
            <w:vMerge w:val="continue"/>
            <w:shd w:val="clear" w:color="auto" w:fill="FFFFFF" w:themeFill="background1"/>
            <w:vAlign w:val="center"/>
          </w:tcPr>
          <w:p>
            <w:pPr>
              <w:widowControl/>
              <w:jc w:val="center"/>
              <w:rPr>
                <w:rFonts w:hAnsiTheme="minorEastAsia"/>
                <w:b/>
                <w:bCs/>
                <w:color w:val="000000"/>
                <w:kern w:val="0"/>
                <w:sz w:val="21"/>
                <w:szCs w:val="21"/>
              </w:rPr>
            </w:pPr>
          </w:p>
        </w:tc>
        <w:tc>
          <w:tcPr>
            <w:tcW w:w="3402" w:type="dxa"/>
            <w:vAlign w:val="center"/>
          </w:tcPr>
          <w:p>
            <w:pPr>
              <w:widowControl/>
              <w:jc w:val="left"/>
              <w:rPr>
                <w:rFonts w:hAnsiTheme="minorEastAsia"/>
                <w:color w:val="000000"/>
                <w:kern w:val="0"/>
                <w:sz w:val="21"/>
                <w:szCs w:val="21"/>
              </w:rPr>
            </w:pPr>
            <w:r>
              <w:rPr>
                <w:rFonts w:hint="eastAsia" w:hAnsiTheme="minorEastAsia"/>
                <w:color w:val="000000"/>
                <w:kern w:val="0"/>
                <w:sz w:val="21"/>
                <w:szCs w:val="21"/>
              </w:rPr>
              <w:t>戏剧与影视学</w:t>
            </w:r>
          </w:p>
        </w:tc>
        <w:tc>
          <w:tcPr>
            <w:tcW w:w="740"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35</w:t>
            </w:r>
          </w:p>
        </w:tc>
        <w:tc>
          <w:tcPr>
            <w:tcW w:w="900" w:type="dxa"/>
            <w:vAlign w:val="center"/>
          </w:tcPr>
          <w:p>
            <w:pPr>
              <w:widowControl/>
              <w:jc w:val="center"/>
              <w:rPr>
                <w:rFonts w:ascii="Times New Roman" w:hAnsi="Times New Roman" w:cs="Times New Roman"/>
                <w:kern w:val="0"/>
                <w:sz w:val="21"/>
                <w:szCs w:val="21"/>
              </w:rPr>
            </w:pPr>
            <w:r>
              <w:rPr>
                <w:rFonts w:ascii="Times New Roman" w:hAnsi="Times New Roman" w:cs="Times New Roman"/>
                <w:kern w:val="0"/>
                <w:sz w:val="21"/>
                <w:szCs w:val="21"/>
              </w:rPr>
              <w:t>9.62</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54" w:hRule="atLeast"/>
          <w:jc w:val="center"/>
        </w:trPr>
        <w:tc>
          <w:tcPr>
            <w:tcW w:w="1985" w:type="dxa"/>
            <w:vMerge w:val="continue"/>
            <w:shd w:val="clear" w:color="auto" w:fill="FFFFFF" w:themeFill="background1"/>
            <w:vAlign w:val="center"/>
          </w:tcPr>
          <w:p>
            <w:pPr>
              <w:widowControl/>
              <w:jc w:val="center"/>
              <w:rPr>
                <w:rFonts w:hAnsiTheme="minorEastAsia"/>
                <w:b/>
                <w:bCs/>
                <w:color w:val="000000"/>
                <w:kern w:val="0"/>
                <w:sz w:val="21"/>
                <w:szCs w:val="21"/>
              </w:rPr>
            </w:pPr>
          </w:p>
        </w:tc>
        <w:tc>
          <w:tcPr>
            <w:tcW w:w="3402" w:type="dxa"/>
            <w:shd w:val="clear" w:color="auto" w:fill="DAEEF3" w:themeFill="accent5" w:themeFillTint="33"/>
            <w:vAlign w:val="center"/>
          </w:tcPr>
          <w:p>
            <w:pPr>
              <w:widowControl/>
              <w:jc w:val="left"/>
              <w:rPr>
                <w:rFonts w:hAnsiTheme="minorEastAsia"/>
                <w:color w:val="000000"/>
                <w:kern w:val="0"/>
                <w:sz w:val="21"/>
                <w:szCs w:val="21"/>
              </w:rPr>
            </w:pPr>
            <w:r>
              <w:rPr>
                <w:rFonts w:hint="eastAsia" w:hAnsiTheme="minorEastAsia"/>
                <w:color w:val="000000"/>
                <w:kern w:val="0"/>
                <w:sz w:val="21"/>
                <w:szCs w:val="21"/>
              </w:rPr>
              <w:t>艺术学理论</w:t>
            </w:r>
          </w:p>
        </w:tc>
        <w:tc>
          <w:tcPr>
            <w:tcW w:w="740"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w:t>
            </w:r>
          </w:p>
        </w:tc>
        <w:tc>
          <w:tcPr>
            <w:tcW w:w="900" w:type="dxa"/>
            <w:shd w:val="clear" w:color="auto" w:fill="DAEEF3" w:themeFill="accent5" w:themeFillTint="33"/>
            <w:vAlign w:val="center"/>
          </w:tcPr>
          <w:p>
            <w:pPr>
              <w:widowControl/>
              <w:jc w:val="center"/>
              <w:rPr>
                <w:rFonts w:ascii="Times New Roman" w:hAnsi="Times New Roman" w:cs="Times New Roman"/>
                <w:kern w:val="0"/>
                <w:sz w:val="21"/>
                <w:szCs w:val="21"/>
              </w:rPr>
            </w:pPr>
            <w:r>
              <w:rPr>
                <w:rFonts w:ascii="Times New Roman" w:hAnsi="Times New Roman" w:cs="Times New Roman"/>
                <w:kern w:val="0"/>
                <w:sz w:val="21"/>
                <w:szCs w:val="21"/>
              </w:rPr>
              <w:t>2.75</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54" w:hRule="atLeast"/>
          <w:jc w:val="center"/>
        </w:trPr>
        <w:tc>
          <w:tcPr>
            <w:tcW w:w="1985" w:type="dxa"/>
            <w:vMerge w:val="restart"/>
            <w:shd w:val="clear" w:color="auto" w:fill="DAEEF3" w:themeFill="accent5" w:themeFillTint="33"/>
            <w:vAlign w:val="center"/>
          </w:tcPr>
          <w:p>
            <w:pPr>
              <w:widowControl/>
              <w:jc w:val="center"/>
              <w:rPr>
                <w:rFonts w:hAnsiTheme="minorEastAsia"/>
                <w:b/>
                <w:bCs/>
                <w:color w:val="000000"/>
                <w:kern w:val="0"/>
                <w:sz w:val="21"/>
                <w:szCs w:val="21"/>
              </w:rPr>
            </w:pPr>
            <w:r>
              <w:rPr>
                <w:rFonts w:hint="eastAsia" w:hAnsiTheme="minorEastAsia"/>
                <w:b/>
                <w:bCs/>
                <w:color w:val="000000"/>
                <w:kern w:val="0"/>
                <w:sz w:val="21"/>
                <w:szCs w:val="21"/>
              </w:rPr>
              <w:t>博士生</w:t>
            </w:r>
          </w:p>
          <w:p>
            <w:pPr>
              <w:jc w:val="center"/>
              <w:rPr>
                <w:rFonts w:hAnsiTheme="minorEastAsia"/>
                <w:b/>
                <w:bCs/>
                <w:color w:val="000000"/>
                <w:kern w:val="0"/>
                <w:sz w:val="21"/>
                <w:szCs w:val="21"/>
              </w:rPr>
            </w:pPr>
            <w:r>
              <w:rPr>
                <w:rFonts w:hint="eastAsia" w:hAnsiTheme="minorEastAsia"/>
                <w:b/>
                <w:bCs/>
                <w:color w:val="000000"/>
                <w:kern w:val="0"/>
                <w:sz w:val="21"/>
                <w:szCs w:val="21"/>
              </w:rPr>
              <w:t>（</w:t>
            </w:r>
            <w:r>
              <w:rPr>
                <w:rFonts w:hAnsiTheme="minorEastAsia"/>
                <w:b/>
                <w:bCs/>
                <w:color w:val="000000"/>
                <w:kern w:val="0"/>
                <w:sz w:val="21"/>
                <w:szCs w:val="21"/>
              </w:rPr>
              <w:t>N=19）</w:t>
            </w:r>
          </w:p>
        </w:tc>
        <w:tc>
          <w:tcPr>
            <w:tcW w:w="3402" w:type="dxa"/>
            <w:vAlign w:val="center"/>
          </w:tcPr>
          <w:p>
            <w:pPr>
              <w:widowControl/>
              <w:jc w:val="left"/>
              <w:rPr>
                <w:rFonts w:hAnsiTheme="minorEastAsia"/>
                <w:color w:val="000000"/>
                <w:kern w:val="0"/>
                <w:sz w:val="21"/>
                <w:szCs w:val="21"/>
              </w:rPr>
            </w:pPr>
            <w:r>
              <w:rPr>
                <w:rFonts w:hint="eastAsia" w:hAnsiTheme="minorEastAsia"/>
                <w:color w:val="000000"/>
                <w:kern w:val="0"/>
                <w:sz w:val="21"/>
                <w:szCs w:val="21"/>
              </w:rPr>
              <w:t>戏剧与影视学</w:t>
            </w:r>
          </w:p>
        </w:tc>
        <w:tc>
          <w:tcPr>
            <w:tcW w:w="740"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13</w:t>
            </w:r>
          </w:p>
        </w:tc>
        <w:tc>
          <w:tcPr>
            <w:tcW w:w="900" w:type="dxa"/>
            <w:vAlign w:val="center"/>
          </w:tcPr>
          <w:p>
            <w:pPr>
              <w:widowControl/>
              <w:jc w:val="center"/>
              <w:rPr>
                <w:rFonts w:ascii="Times New Roman" w:hAnsi="Times New Roman" w:cs="Times New Roman"/>
                <w:kern w:val="0"/>
                <w:sz w:val="21"/>
                <w:szCs w:val="21"/>
              </w:rPr>
            </w:pPr>
            <w:r>
              <w:rPr>
                <w:rFonts w:ascii="Times New Roman" w:hAnsi="Times New Roman" w:cs="Times New Roman"/>
                <w:kern w:val="0"/>
                <w:sz w:val="21"/>
                <w:szCs w:val="21"/>
              </w:rPr>
              <w:t>3.57</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54" w:hRule="atLeast"/>
          <w:jc w:val="center"/>
        </w:trPr>
        <w:tc>
          <w:tcPr>
            <w:tcW w:w="1985" w:type="dxa"/>
            <w:vMerge w:val="continue"/>
            <w:shd w:val="clear" w:color="auto" w:fill="DAEEF3" w:themeFill="accent5" w:themeFillTint="33"/>
            <w:vAlign w:val="center"/>
          </w:tcPr>
          <w:p>
            <w:pPr>
              <w:widowControl/>
              <w:jc w:val="center"/>
              <w:rPr>
                <w:rFonts w:hAnsiTheme="minorEastAsia"/>
                <w:b/>
                <w:bCs/>
                <w:color w:val="000000"/>
                <w:kern w:val="0"/>
                <w:sz w:val="21"/>
                <w:szCs w:val="21"/>
              </w:rPr>
            </w:pPr>
          </w:p>
        </w:tc>
        <w:tc>
          <w:tcPr>
            <w:tcW w:w="3402" w:type="dxa"/>
            <w:shd w:val="clear" w:color="auto" w:fill="DAEEF3" w:themeFill="accent5" w:themeFillTint="33"/>
            <w:vAlign w:val="center"/>
          </w:tcPr>
          <w:p>
            <w:pPr>
              <w:widowControl/>
              <w:jc w:val="left"/>
              <w:rPr>
                <w:rFonts w:hAnsiTheme="minorEastAsia"/>
                <w:color w:val="000000"/>
                <w:kern w:val="0"/>
                <w:sz w:val="21"/>
                <w:szCs w:val="21"/>
              </w:rPr>
            </w:pPr>
            <w:r>
              <w:rPr>
                <w:rFonts w:hint="eastAsia" w:hAnsiTheme="minorEastAsia"/>
                <w:color w:val="000000"/>
                <w:kern w:val="0"/>
                <w:sz w:val="21"/>
                <w:szCs w:val="21"/>
              </w:rPr>
              <w:t>艺术学理论</w:t>
            </w:r>
          </w:p>
        </w:tc>
        <w:tc>
          <w:tcPr>
            <w:tcW w:w="740"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w:t>
            </w:r>
          </w:p>
        </w:tc>
        <w:tc>
          <w:tcPr>
            <w:tcW w:w="900" w:type="dxa"/>
            <w:shd w:val="clear" w:color="auto" w:fill="DAEEF3" w:themeFill="accent5" w:themeFillTint="33"/>
            <w:vAlign w:val="center"/>
          </w:tcPr>
          <w:p>
            <w:pPr>
              <w:widowControl/>
              <w:jc w:val="center"/>
              <w:rPr>
                <w:rFonts w:ascii="Times New Roman" w:hAnsi="Times New Roman" w:cs="Times New Roman"/>
                <w:kern w:val="0"/>
                <w:sz w:val="21"/>
                <w:szCs w:val="21"/>
              </w:rPr>
            </w:pPr>
            <w:r>
              <w:rPr>
                <w:rFonts w:ascii="Times New Roman" w:hAnsi="Times New Roman" w:cs="Times New Roman"/>
                <w:kern w:val="0"/>
                <w:sz w:val="21"/>
                <w:szCs w:val="21"/>
              </w:rPr>
              <w:t>1.65</w:t>
            </w:r>
          </w:p>
        </w:tc>
      </w:tr>
    </w:tbl>
    <w:p/>
    <w:p/>
    <w:p>
      <w:pPr>
        <w:pStyle w:val="123"/>
        <w:ind w:firstLine="480"/>
      </w:pPr>
      <w:bookmarkStart w:id="117" w:name="PO_3136"/>
      <w:bookmarkEnd w:id="117"/>
    </w:p>
    <w:p>
      <w:pPr>
        <w:widowControl/>
        <w:jc w:val="left"/>
        <w:rPr>
          <w:rFonts w:ascii="Times New Roman" w:hAnsi="Times New Roman"/>
          <w:color w:val="214D83"/>
        </w:rPr>
      </w:pPr>
      <w:r>
        <w:br w:type="page"/>
      </w:r>
    </w:p>
    <w:p>
      <w:pPr>
        <w:pStyle w:val="47"/>
        <w:spacing w:before="312" w:after="156"/>
      </w:pPr>
      <w:bookmarkStart w:id="118" w:name="_Toc486857482"/>
      <w:r>
        <w:rPr>
          <w:rFonts w:hint="eastAsia"/>
        </w:rPr>
        <w:t>二</w:t>
      </w:r>
      <w:r>
        <w:t>、</w:t>
      </w:r>
      <w:r>
        <w:rPr>
          <w:rFonts w:hint="eastAsia"/>
        </w:rPr>
        <w:t>本科生调查</w:t>
      </w:r>
      <w:r>
        <w:t>数据分析</w:t>
      </w:r>
      <w:bookmarkEnd w:id="118"/>
    </w:p>
    <w:p>
      <w:pPr>
        <w:pStyle w:val="41"/>
        <w:spacing w:before="312" w:after="156"/>
        <w:ind w:firstLine="480"/>
      </w:pPr>
      <w:bookmarkStart w:id="119" w:name="_Toc486857483"/>
      <w:r>
        <w:rPr>
          <w:rFonts w:hint="eastAsia"/>
        </w:rPr>
        <w:t>为了使本校</w:t>
      </w:r>
      <w:r>
        <w:t>人才培养工作</w:t>
      </w:r>
      <w:r>
        <w:rPr>
          <w:rFonts w:hint="eastAsia"/>
        </w:rPr>
        <w:t>及</w:t>
      </w:r>
      <w:r>
        <w:t>就业创业服务工作</w:t>
      </w:r>
      <w:r>
        <w:rPr>
          <w:rFonts w:hint="eastAsia"/>
        </w:rPr>
        <w:t>与本科生对教育教学反馈、</w:t>
      </w:r>
      <w:r>
        <w:t>就业</w:t>
      </w:r>
      <w:r>
        <w:rPr>
          <w:rFonts w:hint="eastAsia"/>
        </w:rPr>
        <w:t>创业</w:t>
      </w:r>
      <w:r>
        <w:t>需求</w:t>
      </w:r>
      <w:r>
        <w:rPr>
          <w:rFonts w:hint="eastAsia"/>
        </w:rPr>
        <w:t>等更有效地衔接，</w:t>
      </w:r>
      <w:r>
        <w:t>本部分</w:t>
      </w:r>
      <w:r>
        <w:rPr>
          <w:rFonts w:hint="eastAsia"/>
        </w:rPr>
        <w:t>调研包括了本科生对专业培养及就业创业</w:t>
      </w:r>
      <w:r>
        <w:t>教育反馈</w:t>
      </w:r>
      <w:r>
        <w:rPr>
          <w:rFonts w:hint="eastAsia"/>
        </w:rPr>
        <w:t>和</w:t>
      </w:r>
      <w:r>
        <w:t>就业</w:t>
      </w:r>
      <w:r>
        <w:rPr>
          <w:rFonts w:hint="eastAsia"/>
        </w:rPr>
        <w:t>过程、就业结果</w:t>
      </w:r>
      <w:r>
        <w:t>等方面</w:t>
      </w:r>
      <w:r>
        <w:rPr>
          <w:rFonts w:hint="eastAsia"/>
        </w:rPr>
        <w:t>的内容。</w:t>
      </w:r>
    </w:p>
    <w:p>
      <w:pPr>
        <w:pStyle w:val="49"/>
        <w:spacing w:before="156" w:after="156"/>
        <w:ind w:left="120"/>
      </w:pPr>
      <w:r>
        <w:rPr>
          <w:rFonts w:hint="eastAsia"/>
        </w:rPr>
        <w:t>（一）本科生专业培养及就业创业教育反馈</w:t>
      </w:r>
      <w:bookmarkEnd w:id="119"/>
    </w:p>
    <w:p>
      <w:pPr>
        <w:pStyle w:val="67"/>
        <w:spacing w:before="156" w:after="156"/>
        <w:ind w:left="240"/>
      </w:pPr>
      <w:bookmarkStart w:id="120" w:name="_Toc486857484"/>
      <w:r>
        <w:rPr>
          <w:rFonts w:hint="eastAsia"/>
        </w:rPr>
        <w:t>1.专业认同情况</w:t>
      </w:r>
      <w:bookmarkEnd w:id="120"/>
    </w:p>
    <w:p>
      <w:pPr>
        <w:pStyle w:val="41"/>
        <w:ind w:firstLine="482"/>
        <w:rPr>
          <w:color w:val="FF0000"/>
        </w:rPr>
      </w:pPr>
      <w:r>
        <w:rPr>
          <w:rFonts w:hint="eastAsia"/>
          <w:b/>
        </w:rPr>
        <w:t>专业认同</w:t>
      </w:r>
      <w:r>
        <w:t>：这是</w:t>
      </w:r>
      <w:r>
        <w:rPr>
          <w:rFonts w:hint="eastAsia"/>
        </w:rPr>
        <w:t>毕业生的</w:t>
      </w:r>
      <w:r>
        <w:t>主观判断指标，代表着毕业生对</w:t>
      </w:r>
      <w:r>
        <w:rPr>
          <w:rFonts w:hint="eastAsia"/>
        </w:rPr>
        <w:t>本专业在情感上</w:t>
      </w:r>
      <w:r>
        <w:t>的</w:t>
      </w:r>
      <w:r>
        <w:rPr>
          <w:rFonts w:hint="eastAsia"/>
        </w:rPr>
        <w:t>认同和接受</w:t>
      </w:r>
      <w:r>
        <w:t>程度</w:t>
      </w:r>
      <w:r>
        <w:rPr>
          <w:rFonts w:hint="eastAsia"/>
        </w:rPr>
        <w:t>。本报告</w:t>
      </w:r>
      <w:r>
        <w:t>主要体现在毕业生</w:t>
      </w:r>
      <w:r>
        <w:rPr>
          <w:rFonts w:hint="eastAsia"/>
        </w:rPr>
        <w:t>选择本</w:t>
      </w:r>
      <w:r>
        <w:t>专业的方式、</w:t>
      </w:r>
      <w:r>
        <w:rPr>
          <w:rFonts w:hint="eastAsia"/>
        </w:rPr>
        <w:t>对本</w:t>
      </w:r>
      <w:r>
        <w:t>专业的喜欢程度、</w:t>
      </w:r>
      <w:r>
        <w:rPr>
          <w:rFonts w:hint="eastAsia"/>
        </w:rPr>
        <w:t>从事本</w:t>
      </w:r>
      <w:r>
        <w:t>专业相关工作的意愿等方面。</w:t>
      </w:r>
    </w:p>
    <w:p>
      <w:pPr>
        <w:pStyle w:val="70"/>
        <w:spacing w:before="156" w:after="156"/>
        <w:ind w:left="360"/>
      </w:pPr>
      <w:r>
        <w:rPr>
          <w:rFonts w:hint="eastAsia"/>
        </w:rPr>
        <w:t>（1）选择本</w:t>
      </w:r>
      <w:r>
        <w:t>专业的方式</w:t>
      </w:r>
    </w:p>
    <w:p>
      <w:pPr>
        <w:pStyle w:val="123"/>
        <w:ind w:firstLine="480"/>
      </w:pPr>
      <w:bookmarkStart w:id="121" w:name="PO_321111"/>
      <w:bookmarkEnd w:id="121"/>
      <w:r>
        <w:rPr>
          <w:rFonts w:hint="eastAsia"/>
        </w:rPr>
        <w:t>在专业选择方式上，90.15%的本科生是自主选择，其次是听取父母意见（4.74%）。</w:t>
      </w:r>
    </w:p>
    <w:p>
      <w:pPr>
        <w:jc w:val="center"/>
      </w:pPr>
      <w:bookmarkStart w:id="122" w:name="PO_321112"/>
      <w:bookmarkEnd w:id="122"/>
      <w:r>
        <w:rPr>
          <w:rFonts w:hint="eastAsia"/>
        </w:rPr>
        <w:drawing>
          <wp:inline distT="0" distB="0" distL="0" distR="0">
            <wp:extent cx="5026025" cy="3133725"/>
            <wp:effectExtent l="19050" t="0" r="22225" b="0"/>
            <wp:docPr id="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107"/>
        <w:spacing w:before="156" w:after="312"/>
      </w:pPr>
      <w:r>
        <w:rPr>
          <w:rFonts w:hint="eastAsia"/>
        </w:rPr>
        <w:t>本科生选择本专业的方式</w:t>
      </w:r>
    </w:p>
    <w:p>
      <w:pPr>
        <w:pStyle w:val="41"/>
        <w:ind w:firstLine="482"/>
        <w:rPr>
          <w:b/>
        </w:rPr>
      </w:pPr>
    </w:p>
    <w:p>
      <w:pPr>
        <w:pStyle w:val="123"/>
        <w:ind w:firstLine="482"/>
      </w:pPr>
      <w:r>
        <w:rPr>
          <w:rFonts w:hint="eastAsia"/>
          <w:b/>
        </w:rPr>
        <w:t>就专业而言</w:t>
      </w:r>
      <w:r>
        <w:rPr>
          <w:rFonts w:hint="eastAsia"/>
        </w:rPr>
        <w:t>，</w:t>
      </w:r>
      <w:bookmarkStart w:id="123" w:name="PO_321114"/>
      <w:bookmarkEnd w:id="123"/>
      <w:r>
        <w:rPr>
          <w:rFonts w:hint="eastAsia"/>
        </w:rPr>
        <w:t>卡方检验显示，不同专业本科生的专业选择方式不存在显著差异（</w:t>
      </w:r>
      <m:oMath>
        <m:sSup>
          <m:sSupPr>
            <m:ctrlPr>
              <w:rPr>
                <w:rFonts w:ascii="Cambria Math" w:hAnsi="Cambria Math"/>
                <w:color w:val="000000" w:themeColor="text1"/>
              </w:rPr>
            </m:ctrlPr>
          </m:sSupPr>
          <m:e>
            <m:r>
              <w:rPr>
                <w:rFonts w:ascii="Cambria Math" w:hAnsi="Cambria Math"/>
                <w:color w:val="000000" w:themeColor="text1"/>
              </w:rPr>
              <m:t>χ</m:t>
            </m:r>
            <m:ctrlPr>
              <w:rPr>
                <w:rFonts w:ascii="Cambria Math" w:hAnsi="Cambria Math"/>
                <w:color w:val="000000" w:themeColor="text1"/>
              </w:rPr>
            </m:ctrlPr>
          </m:e>
          <m:sup>
            <m:r>
              <w:rPr>
                <w:rFonts w:ascii="Cambria Math" w:hAnsi="Cambria Math"/>
                <w:color w:val="000000" w:themeColor="text1"/>
              </w:rPr>
              <m:t>2</m:t>
            </m:r>
            <m:ctrlPr>
              <w:rPr>
                <w:rFonts w:ascii="Cambria Math" w:hAnsi="Cambria Math"/>
                <w:color w:val="000000" w:themeColor="text1"/>
              </w:rPr>
            </m:ctrlPr>
          </m:sup>
        </m:sSup>
      </m:oMath>
      <w:r>
        <w:rPr>
          <w:rFonts w:hint="eastAsia"/>
        </w:rPr>
        <w:t>=40.75，p&gt;0.05）。</w:t>
      </w:r>
      <w:r>
        <w:rPr>
          <w:rStyle w:val="31"/>
        </w:rPr>
        <w:footnoteReference w:id="2"/>
      </w:r>
    </w:p>
    <w:p>
      <w:pPr>
        <w:pStyle w:val="55"/>
        <w:spacing w:before="312" w:after="156"/>
      </w:pPr>
      <w:bookmarkStart w:id="124" w:name="PO_321115"/>
      <w:bookmarkEnd w:id="124"/>
      <w:bookmarkStart w:id="125" w:name="PO_321116"/>
      <w:bookmarkEnd w:id="125"/>
      <w:r>
        <w:rPr>
          <w:rFonts w:hint="eastAsia"/>
        </w:rPr>
        <w:t>不同专业本科生选择本专业的方式（%）</w:t>
      </w:r>
    </w:p>
    <w:tbl>
      <w:tblPr>
        <w:tblStyle w:val="125"/>
        <w:tblW w:w="9035" w:type="dxa"/>
        <w:jc w:val="center"/>
        <w:tblInd w:w="0"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3342"/>
        <w:gridCol w:w="1134"/>
        <w:gridCol w:w="1134"/>
        <w:gridCol w:w="1382"/>
        <w:gridCol w:w="1091"/>
        <w:gridCol w:w="952"/>
      </w:tblGrid>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415" w:hRule="atLeast"/>
          <w:jc w:val="center"/>
        </w:trPr>
        <w:tc>
          <w:tcPr>
            <w:tcW w:w="3342" w:type="dxa"/>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hint="eastAsia" w:cs="Times New Roman"/>
                <w:b/>
                <w:bCs/>
                <w:color w:val="FFFFFF" w:themeColor="background1"/>
                <w:kern w:val="0"/>
                <w:sz w:val="21"/>
                <w:szCs w:val="21"/>
              </w:rPr>
              <w:t>专业</w:t>
            </w:r>
          </w:p>
        </w:tc>
        <w:tc>
          <w:tcPr>
            <w:tcW w:w="1134"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hint="eastAsia"/>
                <w:b/>
                <w:bCs/>
                <w:color w:val="FFFFFF" w:themeColor="background1"/>
                <w:sz w:val="21"/>
              </w:rPr>
              <w:t>自主选择</w:t>
            </w:r>
          </w:p>
        </w:tc>
        <w:tc>
          <w:tcPr>
            <w:tcW w:w="1134"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hint="eastAsia"/>
                <w:b/>
                <w:bCs/>
                <w:color w:val="FFFFFF" w:themeColor="background1"/>
                <w:sz w:val="21"/>
              </w:rPr>
              <w:t>父母意见</w:t>
            </w:r>
          </w:p>
        </w:tc>
        <w:tc>
          <w:tcPr>
            <w:tcW w:w="1382"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hint="eastAsia"/>
                <w:b/>
                <w:bCs/>
                <w:color w:val="FFFFFF" w:themeColor="background1"/>
                <w:sz w:val="21"/>
              </w:rPr>
              <w:t>他人推荐（除父母外）</w:t>
            </w:r>
          </w:p>
        </w:tc>
        <w:tc>
          <w:tcPr>
            <w:tcW w:w="1091"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hint="eastAsia"/>
                <w:b/>
                <w:bCs/>
                <w:color w:val="FFFFFF" w:themeColor="background1"/>
                <w:sz w:val="21"/>
              </w:rPr>
              <w:t>专业调剂</w:t>
            </w:r>
          </w:p>
        </w:tc>
        <w:tc>
          <w:tcPr>
            <w:tcW w:w="952" w:type="dxa"/>
            <w:tcBorders>
              <w:top w:val="single" w:color="4BACC6" w:themeColor="accent5" w:sz="4" w:space="0"/>
              <w:bottom w:val="single" w:color="4BACC6" w:themeColor="accent5" w:sz="4" w:space="0"/>
              <w:right w:val="single" w:color="4BACC6" w:themeColor="accent5" w:sz="4" w:space="0"/>
              <w:insideH w:val="single" w:sz="4" w:space="0"/>
              <w:insideV w:val="nil"/>
            </w:tcBorders>
            <w:shd w:val="clear" w:color="auto" w:fill="4BACC6" w:themeFill="accent5"/>
            <w:vAlign w:val="center"/>
          </w:tcPr>
          <w:p>
            <w:pPr>
              <w:widowControl/>
              <w:jc w:val="center"/>
              <w:rPr>
                <w:b/>
                <w:bCs/>
                <w:color w:val="FFFFFF" w:themeColor="background1"/>
                <w:sz w:val="21"/>
              </w:rPr>
            </w:pPr>
            <w:r>
              <w:rPr>
                <w:rFonts w:hint="eastAsia"/>
                <w:b/>
                <w:bCs/>
                <w:color w:val="FFFFFF" w:themeColor="background1"/>
                <w:sz w:val="21"/>
              </w:rPr>
              <w:t>其他</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30" w:hRule="atLeast"/>
          <w:jc w:val="center"/>
        </w:trPr>
        <w:tc>
          <w:tcPr>
            <w:tcW w:w="3342" w:type="dxa"/>
            <w:shd w:val="clear" w:color="auto" w:fill="DAEEF3" w:themeFill="accent5" w:themeFillTint="33"/>
            <w:vAlign w:val="center"/>
          </w:tcPr>
          <w:p>
            <w:pPr>
              <w:widowControl/>
              <w:jc w:val="left"/>
              <w:rPr>
                <w:rFonts w:ascii="Times New Roman" w:hAnsi="Times New Roman" w:cs="Times New Roman"/>
                <w:b/>
                <w:bCs/>
                <w:color w:val="000000"/>
                <w:kern w:val="0"/>
                <w:sz w:val="21"/>
                <w:szCs w:val="21"/>
              </w:rPr>
            </w:pPr>
            <w:r>
              <w:rPr>
                <w:rFonts w:hint="eastAsia" w:ascii="宋体" w:eastAsia="宋体" w:cs="宋体"/>
                <w:b/>
                <w:bCs/>
                <w:color w:val="000000"/>
                <w:kern w:val="0"/>
                <w:sz w:val="21"/>
                <w:szCs w:val="21"/>
              </w:rPr>
              <w:t>表演</w:t>
            </w:r>
          </w:p>
        </w:tc>
        <w:tc>
          <w:tcPr>
            <w:tcW w:w="1134"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sz w:val="21"/>
              </w:rPr>
              <w:t>78.95</w:t>
            </w:r>
          </w:p>
        </w:tc>
        <w:tc>
          <w:tcPr>
            <w:tcW w:w="1134"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15.79</w:t>
            </w:r>
          </w:p>
        </w:tc>
        <w:tc>
          <w:tcPr>
            <w:tcW w:w="1382"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5.26</w:t>
            </w:r>
          </w:p>
        </w:tc>
        <w:tc>
          <w:tcPr>
            <w:tcW w:w="1091"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sz w:val="21"/>
              </w:rPr>
              <w:t>0.00</w:t>
            </w:r>
          </w:p>
        </w:tc>
        <w:tc>
          <w:tcPr>
            <w:tcW w:w="952"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30" w:hRule="atLeast"/>
          <w:jc w:val="center"/>
        </w:trPr>
        <w:tc>
          <w:tcPr>
            <w:tcW w:w="3342" w:type="dxa"/>
            <w:vAlign w:val="center"/>
          </w:tcPr>
          <w:p>
            <w:pPr>
              <w:widowControl/>
              <w:jc w:val="left"/>
              <w:rPr>
                <w:rFonts w:ascii="Times New Roman" w:hAnsi="Times New Roman" w:cs="Times New Roman"/>
                <w:b/>
                <w:bCs/>
                <w:color w:val="000000"/>
                <w:kern w:val="0"/>
                <w:sz w:val="21"/>
                <w:szCs w:val="21"/>
              </w:rPr>
            </w:pPr>
            <w:r>
              <w:rPr>
                <w:rFonts w:hint="eastAsia" w:ascii="宋体" w:eastAsia="宋体" w:cs="宋体"/>
                <w:b/>
                <w:bCs/>
                <w:color w:val="000000"/>
                <w:kern w:val="0"/>
                <w:sz w:val="21"/>
                <w:szCs w:val="21"/>
              </w:rPr>
              <w:t>表演（戏剧影视表演）</w:t>
            </w:r>
          </w:p>
        </w:tc>
        <w:tc>
          <w:tcPr>
            <w:tcW w:w="1134"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sz w:val="21"/>
              </w:rPr>
              <w:t>94.74</w:t>
            </w:r>
          </w:p>
        </w:tc>
        <w:tc>
          <w:tcPr>
            <w:tcW w:w="1134" w:type="dxa"/>
            <w:vAlign w:val="center"/>
          </w:tcPr>
          <w:p>
            <w:pPr>
              <w:widowControl/>
              <w:jc w:val="center"/>
              <w:rPr>
                <w:rFonts w:ascii="Times New Roman" w:hAnsi="Times New Roman" w:cs="Times New Roman"/>
                <w:sz w:val="21"/>
              </w:rPr>
            </w:pPr>
            <w:r>
              <w:rPr>
                <w:rFonts w:ascii="Times New Roman" w:hAnsi="Times New Roman" w:cs="Times New Roman"/>
                <w:sz w:val="21"/>
              </w:rPr>
              <w:t>2.63</w:t>
            </w:r>
          </w:p>
        </w:tc>
        <w:tc>
          <w:tcPr>
            <w:tcW w:w="1382" w:type="dxa"/>
            <w:vAlign w:val="center"/>
          </w:tcPr>
          <w:p>
            <w:pPr>
              <w:widowControl/>
              <w:jc w:val="center"/>
              <w:rPr>
                <w:rFonts w:ascii="Times New Roman" w:hAnsi="Times New Roman" w:cs="Times New Roman"/>
                <w:sz w:val="21"/>
              </w:rPr>
            </w:pPr>
            <w:r>
              <w:rPr>
                <w:rFonts w:ascii="Times New Roman" w:hAnsi="Times New Roman" w:cs="Times New Roman"/>
                <w:sz w:val="21"/>
              </w:rPr>
              <w:t>0.00</w:t>
            </w:r>
          </w:p>
        </w:tc>
        <w:tc>
          <w:tcPr>
            <w:tcW w:w="1091"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sz w:val="21"/>
              </w:rPr>
              <w:t>0.00</w:t>
            </w:r>
          </w:p>
        </w:tc>
        <w:tc>
          <w:tcPr>
            <w:tcW w:w="952" w:type="dxa"/>
            <w:vAlign w:val="center"/>
          </w:tcPr>
          <w:p>
            <w:pPr>
              <w:widowControl/>
              <w:jc w:val="center"/>
              <w:rPr>
                <w:rFonts w:ascii="Times New Roman" w:hAnsi="Times New Roman" w:cs="Times New Roman"/>
                <w:sz w:val="21"/>
              </w:rPr>
            </w:pPr>
            <w:r>
              <w:rPr>
                <w:rFonts w:ascii="Times New Roman" w:hAnsi="Times New Roman" w:cs="Times New Roman"/>
                <w:sz w:val="21"/>
              </w:rPr>
              <w:t>2.63</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30" w:hRule="atLeast"/>
          <w:jc w:val="center"/>
        </w:trPr>
        <w:tc>
          <w:tcPr>
            <w:tcW w:w="3342" w:type="dxa"/>
            <w:shd w:val="clear" w:color="auto" w:fill="DAEEF3" w:themeFill="accent5" w:themeFillTint="33"/>
            <w:vAlign w:val="center"/>
          </w:tcPr>
          <w:p>
            <w:pPr>
              <w:widowControl/>
              <w:jc w:val="left"/>
              <w:rPr>
                <w:rFonts w:ascii="宋体" w:eastAsia="宋体" w:cs="宋体"/>
                <w:b/>
                <w:bCs/>
                <w:color w:val="000000"/>
                <w:kern w:val="0"/>
                <w:sz w:val="21"/>
                <w:szCs w:val="21"/>
              </w:rPr>
            </w:pPr>
            <w:r>
              <w:rPr>
                <w:rFonts w:hint="eastAsia" w:ascii="宋体" w:eastAsia="宋体" w:cs="宋体"/>
                <w:b/>
                <w:bCs/>
                <w:color w:val="000000"/>
                <w:kern w:val="0"/>
                <w:sz w:val="21"/>
                <w:szCs w:val="21"/>
              </w:rPr>
              <w:t>表演（音乐剧）</w:t>
            </w:r>
          </w:p>
        </w:tc>
        <w:tc>
          <w:tcPr>
            <w:tcW w:w="1134"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76.00</w:t>
            </w:r>
          </w:p>
        </w:tc>
        <w:tc>
          <w:tcPr>
            <w:tcW w:w="1134"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12.00</w:t>
            </w:r>
          </w:p>
        </w:tc>
        <w:tc>
          <w:tcPr>
            <w:tcW w:w="1382"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4.00</w:t>
            </w:r>
          </w:p>
        </w:tc>
        <w:tc>
          <w:tcPr>
            <w:tcW w:w="1091"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4.00</w:t>
            </w:r>
          </w:p>
        </w:tc>
        <w:tc>
          <w:tcPr>
            <w:tcW w:w="952"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4.00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30" w:hRule="atLeast"/>
          <w:jc w:val="center"/>
        </w:trPr>
        <w:tc>
          <w:tcPr>
            <w:tcW w:w="3342" w:type="dxa"/>
            <w:vAlign w:val="center"/>
          </w:tcPr>
          <w:p>
            <w:pPr>
              <w:widowControl/>
              <w:jc w:val="left"/>
              <w:rPr>
                <w:rFonts w:ascii="宋体" w:eastAsia="宋体" w:cs="宋体"/>
                <w:b/>
                <w:bCs/>
                <w:color w:val="000000"/>
                <w:kern w:val="0"/>
                <w:sz w:val="21"/>
                <w:szCs w:val="21"/>
              </w:rPr>
            </w:pPr>
            <w:r>
              <w:rPr>
                <w:rFonts w:hint="eastAsia" w:ascii="宋体" w:eastAsia="宋体" w:cs="宋体"/>
                <w:b/>
                <w:bCs/>
                <w:color w:val="000000"/>
                <w:kern w:val="0"/>
                <w:sz w:val="21"/>
                <w:szCs w:val="21"/>
              </w:rPr>
              <w:t>导演（演出制作）</w:t>
            </w:r>
          </w:p>
        </w:tc>
        <w:tc>
          <w:tcPr>
            <w:tcW w:w="1134" w:type="dxa"/>
            <w:vAlign w:val="center"/>
          </w:tcPr>
          <w:p>
            <w:pPr>
              <w:widowControl/>
              <w:jc w:val="center"/>
              <w:rPr>
                <w:rFonts w:ascii="Times New Roman" w:hAnsi="Times New Roman" w:cs="Times New Roman"/>
                <w:sz w:val="21"/>
              </w:rPr>
            </w:pPr>
            <w:r>
              <w:rPr>
                <w:rFonts w:ascii="Times New Roman" w:hAnsi="Times New Roman" w:cs="Times New Roman"/>
                <w:sz w:val="21"/>
              </w:rPr>
              <w:t>100.00</w:t>
            </w:r>
          </w:p>
        </w:tc>
        <w:tc>
          <w:tcPr>
            <w:tcW w:w="1134" w:type="dxa"/>
            <w:vAlign w:val="center"/>
          </w:tcPr>
          <w:p>
            <w:pPr>
              <w:widowControl/>
              <w:jc w:val="center"/>
              <w:rPr>
                <w:rFonts w:ascii="Times New Roman" w:hAnsi="Times New Roman" w:cs="Times New Roman"/>
                <w:sz w:val="21"/>
              </w:rPr>
            </w:pPr>
            <w:r>
              <w:rPr>
                <w:rFonts w:ascii="Times New Roman" w:hAnsi="Times New Roman" w:cs="Times New Roman"/>
                <w:sz w:val="21"/>
              </w:rPr>
              <w:t>0.00</w:t>
            </w:r>
          </w:p>
        </w:tc>
        <w:tc>
          <w:tcPr>
            <w:tcW w:w="1382" w:type="dxa"/>
            <w:vAlign w:val="center"/>
          </w:tcPr>
          <w:p>
            <w:pPr>
              <w:widowControl/>
              <w:jc w:val="center"/>
              <w:rPr>
                <w:rFonts w:ascii="Times New Roman" w:hAnsi="Times New Roman" w:cs="Times New Roman"/>
                <w:sz w:val="21"/>
              </w:rPr>
            </w:pPr>
            <w:r>
              <w:rPr>
                <w:rFonts w:ascii="Times New Roman" w:hAnsi="Times New Roman" w:cs="Times New Roman"/>
                <w:sz w:val="21"/>
              </w:rPr>
              <w:t>0.00</w:t>
            </w:r>
          </w:p>
        </w:tc>
        <w:tc>
          <w:tcPr>
            <w:tcW w:w="1091" w:type="dxa"/>
            <w:vAlign w:val="center"/>
          </w:tcPr>
          <w:p>
            <w:pPr>
              <w:widowControl/>
              <w:jc w:val="center"/>
              <w:rPr>
                <w:rFonts w:ascii="Times New Roman" w:hAnsi="Times New Roman" w:cs="Times New Roman"/>
                <w:sz w:val="21"/>
              </w:rPr>
            </w:pPr>
            <w:r>
              <w:rPr>
                <w:rFonts w:ascii="Times New Roman" w:hAnsi="Times New Roman" w:cs="Times New Roman"/>
                <w:sz w:val="21"/>
              </w:rPr>
              <w:t>0.00</w:t>
            </w:r>
          </w:p>
        </w:tc>
        <w:tc>
          <w:tcPr>
            <w:tcW w:w="952" w:type="dxa"/>
            <w:vAlign w:val="center"/>
          </w:tcPr>
          <w:p>
            <w:pPr>
              <w:widowControl/>
              <w:jc w:val="center"/>
              <w:rPr>
                <w:rFonts w:ascii="Times New Roman" w:hAnsi="Times New Roman" w:cs="Times New Roman"/>
                <w:sz w:val="21"/>
              </w:rPr>
            </w:pPr>
            <w:r>
              <w:rPr>
                <w:rFonts w:ascii="Times New Roman" w:hAnsi="Times New Roman" w:cs="Times New Roman"/>
                <w:sz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30" w:hRule="atLeast"/>
          <w:jc w:val="center"/>
        </w:trPr>
        <w:tc>
          <w:tcPr>
            <w:tcW w:w="3342" w:type="dxa"/>
            <w:shd w:val="clear" w:color="auto" w:fill="DAEEF3" w:themeFill="accent5" w:themeFillTint="33"/>
            <w:vAlign w:val="center"/>
          </w:tcPr>
          <w:p>
            <w:pPr>
              <w:widowControl/>
              <w:jc w:val="left"/>
              <w:rPr>
                <w:rFonts w:ascii="宋体" w:eastAsia="宋体" w:cs="宋体"/>
                <w:b/>
                <w:bCs/>
                <w:color w:val="000000"/>
                <w:kern w:val="0"/>
                <w:sz w:val="21"/>
                <w:szCs w:val="21"/>
              </w:rPr>
            </w:pPr>
            <w:r>
              <w:rPr>
                <w:rFonts w:hint="eastAsia" w:ascii="宋体" w:eastAsia="宋体" w:cs="宋体"/>
                <w:b/>
                <w:bCs/>
                <w:color w:val="000000"/>
                <w:kern w:val="0"/>
                <w:sz w:val="21"/>
                <w:szCs w:val="21"/>
              </w:rPr>
              <w:t>导演（影视编导）</w:t>
            </w:r>
          </w:p>
        </w:tc>
        <w:tc>
          <w:tcPr>
            <w:tcW w:w="1134"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100.00</w:t>
            </w:r>
          </w:p>
        </w:tc>
        <w:tc>
          <w:tcPr>
            <w:tcW w:w="1134"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0.00</w:t>
            </w:r>
          </w:p>
        </w:tc>
        <w:tc>
          <w:tcPr>
            <w:tcW w:w="1382"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0.00</w:t>
            </w:r>
          </w:p>
        </w:tc>
        <w:tc>
          <w:tcPr>
            <w:tcW w:w="1091"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0.00</w:t>
            </w:r>
          </w:p>
        </w:tc>
        <w:tc>
          <w:tcPr>
            <w:tcW w:w="952"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30" w:hRule="atLeast"/>
          <w:jc w:val="center"/>
        </w:trPr>
        <w:tc>
          <w:tcPr>
            <w:tcW w:w="3342" w:type="dxa"/>
            <w:vAlign w:val="center"/>
          </w:tcPr>
          <w:p>
            <w:pPr>
              <w:widowControl/>
              <w:jc w:val="left"/>
              <w:rPr>
                <w:rFonts w:ascii="宋体" w:eastAsia="宋体" w:cs="宋体"/>
                <w:b/>
                <w:bCs/>
                <w:color w:val="000000"/>
                <w:kern w:val="0"/>
                <w:sz w:val="21"/>
                <w:szCs w:val="21"/>
              </w:rPr>
            </w:pPr>
            <w:r>
              <w:rPr>
                <w:rFonts w:hint="eastAsia" w:ascii="宋体" w:eastAsia="宋体" w:cs="宋体"/>
                <w:b/>
                <w:bCs/>
                <w:color w:val="000000"/>
                <w:kern w:val="0"/>
                <w:sz w:val="21"/>
                <w:szCs w:val="21"/>
              </w:rPr>
              <w:t>戏剧学(戏剧史论与批评)</w:t>
            </w:r>
          </w:p>
        </w:tc>
        <w:tc>
          <w:tcPr>
            <w:tcW w:w="1134" w:type="dxa"/>
            <w:vAlign w:val="center"/>
          </w:tcPr>
          <w:p>
            <w:pPr>
              <w:widowControl/>
              <w:jc w:val="center"/>
              <w:rPr>
                <w:rFonts w:ascii="Times New Roman" w:hAnsi="Times New Roman" w:cs="Times New Roman"/>
                <w:sz w:val="21"/>
              </w:rPr>
            </w:pPr>
            <w:r>
              <w:rPr>
                <w:rFonts w:ascii="Times New Roman" w:hAnsi="Times New Roman" w:cs="Times New Roman"/>
                <w:sz w:val="21"/>
              </w:rPr>
              <w:t>90.63</w:t>
            </w:r>
          </w:p>
        </w:tc>
        <w:tc>
          <w:tcPr>
            <w:tcW w:w="1134" w:type="dxa"/>
            <w:vAlign w:val="center"/>
          </w:tcPr>
          <w:p>
            <w:pPr>
              <w:widowControl/>
              <w:jc w:val="center"/>
              <w:rPr>
                <w:rFonts w:ascii="Times New Roman" w:hAnsi="Times New Roman" w:cs="Times New Roman"/>
                <w:sz w:val="21"/>
              </w:rPr>
            </w:pPr>
            <w:r>
              <w:rPr>
                <w:rFonts w:ascii="Times New Roman" w:hAnsi="Times New Roman" w:cs="Times New Roman"/>
                <w:sz w:val="21"/>
              </w:rPr>
              <w:t>0.00</w:t>
            </w:r>
          </w:p>
        </w:tc>
        <w:tc>
          <w:tcPr>
            <w:tcW w:w="1382" w:type="dxa"/>
            <w:vAlign w:val="center"/>
          </w:tcPr>
          <w:p>
            <w:pPr>
              <w:widowControl/>
              <w:jc w:val="center"/>
              <w:rPr>
                <w:rFonts w:ascii="Times New Roman" w:hAnsi="Times New Roman" w:cs="Times New Roman"/>
                <w:sz w:val="21"/>
              </w:rPr>
            </w:pPr>
            <w:r>
              <w:rPr>
                <w:rFonts w:ascii="Times New Roman" w:hAnsi="Times New Roman" w:cs="Times New Roman"/>
                <w:sz w:val="21"/>
              </w:rPr>
              <w:t>9.38</w:t>
            </w:r>
          </w:p>
        </w:tc>
        <w:tc>
          <w:tcPr>
            <w:tcW w:w="1091" w:type="dxa"/>
            <w:vAlign w:val="center"/>
          </w:tcPr>
          <w:p>
            <w:pPr>
              <w:widowControl/>
              <w:jc w:val="center"/>
              <w:rPr>
                <w:rFonts w:ascii="Times New Roman" w:hAnsi="Times New Roman" w:cs="Times New Roman"/>
                <w:sz w:val="21"/>
              </w:rPr>
            </w:pPr>
            <w:r>
              <w:rPr>
                <w:rFonts w:ascii="Times New Roman" w:hAnsi="Times New Roman" w:cs="Times New Roman"/>
                <w:sz w:val="21"/>
              </w:rPr>
              <w:t>0.00</w:t>
            </w:r>
          </w:p>
        </w:tc>
        <w:tc>
          <w:tcPr>
            <w:tcW w:w="952" w:type="dxa"/>
            <w:vAlign w:val="center"/>
          </w:tcPr>
          <w:p>
            <w:pPr>
              <w:widowControl/>
              <w:jc w:val="center"/>
              <w:rPr>
                <w:rFonts w:ascii="Times New Roman" w:hAnsi="Times New Roman" w:cs="Times New Roman"/>
                <w:sz w:val="21"/>
              </w:rPr>
            </w:pPr>
            <w:r>
              <w:rPr>
                <w:rFonts w:ascii="Times New Roman" w:hAnsi="Times New Roman" w:cs="Times New Roman"/>
                <w:sz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30" w:hRule="atLeast"/>
          <w:jc w:val="center"/>
        </w:trPr>
        <w:tc>
          <w:tcPr>
            <w:tcW w:w="3342" w:type="dxa"/>
            <w:shd w:val="clear" w:color="auto" w:fill="DAEEF3" w:themeFill="accent5" w:themeFillTint="33"/>
            <w:vAlign w:val="center"/>
          </w:tcPr>
          <w:p>
            <w:pPr>
              <w:widowControl/>
              <w:jc w:val="left"/>
              <w:rPr>
                <w:rFonts w:ascii="宋体" w:eastAsia="宋体" w:cs="宋体"/>
                <w:b/>
                <w:bCs/>
                <w:color w:val="000000"/>
                <w:kern w:val="0"/>
                <w:sz w:val="21"/>
                <w:szCs w:val="21"/>
              </w:rPr>
            </w:pPr>
            <w:r>
              <w:rPr>
                <w:rFonts w:hint="eastAsia" w:ascii="宋体" w:eastAsia="宋体" w:cs="宋体"/>
                <w:b/>
                <w:bCs/>
                <w:color w:val="000000"/>
                <w:kern w:val="0"/>
                <w:sz w:val="21"/>
                <w:szCs w:val="21"/>
              </w:rPr>
              <w:t>戏剧影视导演</w:t>
            </w:r>
          </w:p>
        </w:tc>
        <w:tc>
          <w:tcPr>
            <w:tcW w:w="1134"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92.77</w:t>
            </w:r>
          </w:p>
        </w:tc>
        <w:tc>
          <w:tcPr>
            <w:tcW w:w="1134"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3.61</w:t>
            </w:r>
          </w:p>
        </w:tc>
        <w:tc>
          <w:tcPr>
            <w:tcW w:w="1382"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3.61</w:t>
            </w:r>
          </w:p>
        </w:tc>
        <w:tc>
          <w:tcPr>
            <w:tcW w:w="1091"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0.00</w:t>
            </w:r>
          </w:p>
        </w:tc>
        <w:tc>
          <w:tcPr>
            <w:tcW w:w="952"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30" w:hRule="atLeast"/>
          <w:jc w:val="center"/>
        </w:trPr>
        <w:tc>
          <w:tcPr>
            <w:tcW w:w="3342" w:type="dxa"/>
            <w:vAlign w:val="center"/>
          </w:tcPr>
          <w:p>
            <w:pPr>
              <w:widowControl/>
              <w:jc w:val="left"/>
              <w:rPr>
                <w:rFonts w:ascii="宋体" w:eastAsia="宋体" w:cs="宋体"/>
                <w:b/>
                <w:bCs/>
                <w:color w:val="000000"/>
                <w:kern w:val="0"/>
                <w:sz w:val="21"/>
                <w:szCs w:val="21"/>
              </w:rPr>
            </w:pPr>
            <w:r>
              <w:rPr>
                <w:rFonts w:hint="eastAsia" w:ascii="宋体" w:eastAsia="宋体" w:cs="宋体"/>
                <w:b/>
                <w:bCs/>
                <w:color w:val="000000"/>
                <w:kern w:val="0"/>
                <w:sz w:val="21"/>
                <w:szCs w:val="21"/>
              </w:rPr>
              <w:t>戏剧影视美术设计(舞台灯光)</w:t>
            </w:r>
          </w:p>
        </w:tc>
        <w:tc>
          <w:tcPr>
            <w:tcW w:w="1134" w:type="dxa"/>
            <w:vAlign w:val="center"/>
          </w:tcPr>
          <w:p>
            <w:pPr>
              <w:widowControl/>
              <w:jc w:val="center"/>
              <w:rPr>
                <w:rFonts w:ascii="Times New Roman" w:hAnsi="Times New Roman" w:cs="Times New Roman"/>
                <w:sz w:val="21"/>
              </w:rPr>
            </w:pPr>
            <w:r>
              <w:rPr>
                <w:rFonts w:ascii="Times New Roman" w:hAnsi="Times New Roman" w:cs="Times New Roman"/>
                <w:sz w:val="21"/>
              </w:rPr>
              <w:t>92.31</w:t>
            </w:r>
          </w:p>
        </w:tc>
        <w:tc>
          <w:tcPr>
            <w:tcW w:w="1134" w:type="dxa"/>
            <w:vAlign w:val="center"/>
          </w:tcPr>
          <w:p>
            <w:pPr>
              <w:widowControl/>
              <w:jc w:val="center"/>
              <w:rPr>
                <w:rFonts w:ascii="Times New Roman" w:hAnsi="Times New Roman" w:cs="Times New Roman"/>
                <w:sz w:val="21"/>
              </w:rPr>
            </w:pPr>
            <w:r>
              <w:rPr>
                <w:rFonts w:ascii="Times New Roman" w:hAnsi="Times New Roman" w:cs="Times New Roman"/>
                <w:sz w:val="21"/>
              </w:rPr>
              <w:t>7.69</w:t>
            </w:r>
          </w:p>
        </w:tc>
        <w:tc>
          <w:tcPr>
            <w:tcW w:w="1382" w:type="dxa"/>
            <w:vAlign w:val="center"/>
          </w:tcPr>
          <w:p>
            <w:pPr>
              <w:widowControl/>
              <w:jc w:val="center"/>
              <w:rPr>
                <w:rFonts w:ascii="Times New Roman" w:hAnsi="Times New Roman" w:cs="Times New Roman"/>
                <w:sz w:val="21"/>
              </w:rPr>
            </w:pPr>
            <w:r>
              <w:rPr>
                <w:rFonts w:ascii="Times New Roman" w:hAnsi="Times New Roman" w:cs="Times New Roman"/>
                <w:sz w:val="21"/>
              </w:rPr>
              <w:t>0.00</w:t>
            </w:r>
          </w:p>
        </w:tc>
        <w:tc>
          <w:tcPr>
            <w:tcW w:w="1091" w:type="dxa"/>
            <w:vAlign w:val="center"/>
          </w:tcPr>
          <w:p>
            <w:pPr>
              <w:widowControl/>
              <w:jc w:val="center"/>
              <w:rPr>
                <w:rFonts w:ascii="Times New Roman" w:hAnsi="Times New Roman" w:cs="Times New Roman"/>
                <w:sz w:val="21"/>
              </w:rPr>
            </w:pPr>
            <w:r>
              <w:rPr>
                <w:rFonts w:ascii="Times New Roman" w:hAnsi="Times New Roman" w:cs="Times New Roman"/>
                <w:sz w:val="21"/>
              </w:rPr>
              <w:t>0.00</w:t>
            </w:r>
          </w:p>
        </w:tc>
        <w:tc>
          <w:tcPr>
            <w:tcW w:w="952" w:type="dxa"/>
            <w:vAlign w:val="center"/>
          </w:tcPr>
          <w:p>
            <w:pPr>
              <w:widowControl/>
              <w:jc w:val="center"/>
              <w:rPr>
                <w:rFonts w:ascii="Times New Roman" w:hAnsi="Times New Roman" w:cs="Times New Roman"/>
                <w:sz w:val="21"/>
              </w:rPr>
            </w:pPr>
            <w:r>
              <w:rPr>
                <w:rFonts w:ascii="Times New Roman" w:hAnsi="Times New Roman" w:cs="Times New Roman"/>
                <w:sz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30" w:hRule="atLeast"/>
          <w:jc w:val="center"/>
        </w:trPr>
        <w:tc>
          <w:tcPr>
            <w:tcW w:w="3342" w:type="dxa"/>
            <w:shd w:val="clear" w:color="auto" w:fill="DAEEF3" w:themeFill="accent5" w:themeFillTint="33"/>
            <w:vAlign w:val="center"/>
          </w:tcPr>
          <w:p>
            <w:pPr>
              <w:widowControl/>
              <w:jc w:val="left"/>
              <w:rPr>
                <w:rFonts w:ascii="宋体" w:eastAsia="宋体" w:cs="宋体"/>
                <w:b/>
                <w:bCs/>
                <w:color w:val="000000"/>
                <w:kern w:val="0"/>
                <w:sz w:val="21"/>
                <w:szCs w:val="21"/>
              </w:rPr>
            </w:pPr>
            <w:r>
              <w:rPr>
                <w:rFonts w:hint="eastAsia" w:ascii="宋体" w:eastAsia="宋体" w:cs="宋体"/>
                <w:b/>
                <w:bCs/>
                <w:color w:val="000000"/>
                <w:kern w:val="0"/>
                <w:sz w:val="21"/>
                <w:szCs w:val="21"/>
              </w:rPr>
              <w:t>戏剧影视美术设计(舞台服装)</w:t>
            </w:r>
          </w:p>
        </w:tc>
        <w:tc>
          <w:tcPr>
            <w:tcW w:w="1134"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87.50</w:t>
            </w:r>
          </w:p>
        </w:tc>
        <w:tc>
          <w:tcPr>
            <w:tcW w:w="1134"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6.25</w:t>
            </w:r>
          </w:p>
        </w:tc>
        <w:tc>
          <w:tcPr>
            <w:tcW w:w="1382"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0.00</w:t>
            </w:r>
          </w:p>
        </w:tc>
        <w:tc>
          <w:tcPr>
            <w:tcW w:w="1091"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0.00</w:t>
            </w:r>
          </w:p>
        </w:tc>
        <w:tc>
          <w:tcPr>
            <w:tcW w:w="952"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6.25</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30" w:hRule="atLeast"/>
          <w:jc w:val="center"/>
        </w:trPr>
        <w:tc>
          <w:tcPr>
            <w:tcW w:w="3342" w:type="dxa"/>
            <w:vAlign w:val="center"/>
          </w:tcPr>
          <w:p>
            <w:pPr>
              <w:widowControl/>
              <w:jc w:val="left"/>
              <w:rPr>
                <w:rFonts w:ascii="宋体" w:eastAsia="宋体" w:cs="宋体"/>
                <w:b/>
                <w:bCs/>
                <w:color w:val="000000"/>
                <w:kern w:val="0"/>
                <w:sz w:val="21"/>
                <w:szCs w:val="21"/>
              </w:rPr>
            </w:pPr>
            <w:r>
              <w:rPr>
                <w:rFonts w:hint="eastAsia" w:ascii="宋体" w:eastAsia="宋体" w:cs="宋体"/>
                <w:b/>
                <w:bCs/>
                <w:color w:val="000000"/>
                <w:kern w:val="0"/>
                <w:sz w:val="21"/>
                <w:szCs w:val="21"/>
              </w:rPr>
              <w:t>戏剧影视美术设计(舞台化装)</w:t>
            </w:r>
          </w:p>
        </w:tc>
        <w:tc>
          <w:tcPr>
            <w:tcW w:w="1134" w:type="dxa"/>
            <w:vAlign w:val="center"/>
          </w:tcPr>
          <w:p>
            <w:pPr>
              <w:widowControl/>
              <w:jc w:val="center"/>
              <w:rPr>
                <w:rFonts w:ascii="Times New Roman" w:hAnsi="Times New Roman" w:cs="Times New Roman"/>
                <w:sz w:val="21"/>
              </w:rPr>
            </w:pPr>
            <w:r>
              <w:rPr>
                <w:rFonts w:ascii="Times New Roman" w:hAnsi="Times New Roman" w:cs="Times New Roman"/>
                <w:sz w:val="21"/>
              </w:rPr>
              <w:t>94.12</w:t>
            </w:r>
          </w:p>
        </w:tc>
        <w:tc>
          <w:tcPr>
            <w:tcW w:w="1134" w:type="dxa"/>
            <w:vAlign w:val="center"/>
          </w:tcPr>
          <w:p>
            <w:pPr>
              <w:widowControl/>
              <w:jc w:val="center"/>
              <w:rPr>
                <w:rFonts w:ascii="Times New Roman" w:hAnsi="Times New Roman" w:cs="Times New Roman"/>
                <w:sz w:val="21"/>
              </w:rPr>
            </w:pPr>
            <w:r>
              <w:rPr>
                <w:rFonts w:ascii="Times New Roman" w:hAnsi="Times New Roman" w:cs="Times New Roman"/>
                <w:sz w:val="21"/>
              </w:rPr>
              <w:t>0.00</w:t>
            </w:r>
          </w:p>
        </w:tc>
        <w:tc>
          <w:tcPr>
            <w:tcW w:w="1382" w:type="dxa"/>
            <w:vAlign w:val="center"/>
          </w:tcPr>
          <w:p>
            <w:pPr>
              <w:widowControl/>
              <w:jc w:val="center"/>
              <w:rPr>
                <w:rFonts w:ascii="Times New Roman" w:hAnsi="Times New Roman" w:cs="Times New Roman"/>
                <w:sz w:val="21"/>
              </w:rPr>
            </w:pPr>
            <w:r>
              <w:rPr>
                <w:rFonts w:ascii="Times New Roman" w:hAnsi="Times New Roman" w:cs="Times New Roman"/>
                <w:sz w:val="21"/>
              </w:rPr>
              <w:t>0.00</w:t>
            </w:r>
          </w:p>
        </w:tc>
        <w:tc>
          <w:tcPr>
            <w:tcW w:w="1091" w:type="dxa"/>
            <w:vAlign w:val="center"/>
          </w:tcPr>
          <w:p>
            <w:pPr>
              <w:widowControl/>
              <w:jc w:val="center"/>
              <w:rPr>
                <w:rFonts w:ascii="Times New Roman" w:hAnsi="Times New Roman" w:cs="Times New Roman"/>
                <w:sz w:val="21"/>
              </w:rPr>
            </w:pPr>
            <w:r>
              <w:rPr>
                <w:rFonts w:ascii="Times New Roman" w:hAnsi="Times New Roman" w:cs="Times New Roman"/>
                <w:sz w:val="21"/>
              </w:rPr>
              <w:t>5.88</w:t>
            </w:r>
          </w:p>
        </w:tc>
        <w:tc>
          <w:tcPr>
            <w:tcW w:w="952" w:type="dxa"/>
            <w:vAlign w:val="center"/>
          </w:tcPr>
          <w:p>
            <w:pPr>
              <w:widowControl/>
              <w:jc w:val="center"/>
              <w:rPr>
                <w:rFonts w:ascii="Times New Roman" w:hAnsi="Times New Roman" w:cs="Times New Roman"/>
                <w:sz w:val="21"/>
              </w:rPr>
            </w:pPr>
            <w:r>
              <w:rPr>
                <w:rFonts w:ascii="Times New Roman" w:hAnsi="Times New Roman" w:cs="Times New Roman"/>
                <w:sz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30" w:hRule="atLeast"/>
          <w:jc w:val="center"/>
        </w:trPr>
        <w:tc>
          <w:tcPr>
            <w:tcW w:w="3342" w:type="dxa"/>
            <w:shd w:val="clear" w:color="auto" w:fill="DAEEF3" w:themeFill="accent5" w:themeFillTint="33"/>
            <w:vAlign w:val="center"/>
          </w:tcPr>
          <w:p>
            <w:pPr>
              <w:widowControl/>
              <w:jc w:val="left"/>
              <w:rPr>
                <w:rFonts w:ascii="宋体" w:eastAsia="宋体" w:cs="宋体"/>
                <w:b/>
                <w:bCs/>
                <w:color w:val="000000"/>
                <w:kern w:val="0"/>
                <w:sz w:val="21"/>
                <w:szCs w:val="21"/>
              </w:rPr>
            </w:pPr>
            <w:r>
              <w:rPr>
                <w:rFonts w:hint="eastAsia" w:ascii="宋体" w:eastAsia="宋体" w:cs="宋体"/>
                <w:b/>
                <w:bCs/>
                <w:color w:val="000000"/>
                <w:kern w:val="0"/>
                <w:sz w:val="21"/>
                <w:szCs w:val="21"/>
              </w:rPr>
              <w:t>戏剧影视美术设计(舞台技术)</w:t>
            </w:r>
          </w:p>
        </w:tc>
        <w:tc>
          <w:tcPr>
            <w:tcW w:w="1134"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87.50</w:t>
            </w:r>
          </w:p>
        </w:tc>
        <w:tc>
          <w:tcPr>
            <w:tcW w:w="1134"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6.25</w:t>
            </w:r>
          </w:p>
        </w:tc>
        <w:tc>
          <w:tcPr>
            <w:tcW w:w="1382"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6.25</w:t>
            </w:r>
          </w:p>
        </w:tc>
        <w:tc>
          <w:tcPr>
            <w:tcW w:w="1091"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0.00</w:t>
            </w:r>
          </w:p>
        </w:tc>
        <w:tc>
          <w:tcPr>
            <w:tcW w:w="952"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30" w:hRule="atLeast"/>
          <w:jc w:val="center"/>
        </w:trPr>
        <w:tc>
          <w:tcPr>
            <w:tcW w:w="3342" w:type="dxa"/>
            <w:vAlign w:val="center"/>
          </w:tcPr>
          <w:p>
            <w:pPr>
              <w:widowControl/>
              <w:jc w:val="left"/>
              <w:rPr>
                <w:rFonts w:ascii="宋体" w:eastAsia="宋体" w:cs="宋体"/>
                <w:b/>
                <w:bCs/>
                <w:color w:val="000000"/>
                <w:kern w:val="0"/>
                <w:sz w:val="21"/>
                <w:szCs w:val="21"/>
              </w:rPr>
            </w:pPr>
            <w:r>
              <w:rPr>
                <w:rFonts w:hint="eastAsia" w:ascii="宋体" w:eastAsia="宋体" w:cs="宋体"/>
                <w:b/>
                <w:bCs/>
                <w:color w:val="000000"/>
                <w:kern w:val="0"/>
                <w:sz w:val="21"/>
                <w:szCs w:val="21"/>
              </w:rPr>
              <w:t>戏剧影视文学(电视剧创作)</w:t>
            </w:r>
          </w:p>
        </w:tc>
        <w:tc>
          <w:tcPr>
            <w:tcW w:w="1134" w:type="dxa"/>
            <w:vAlign w:val="center"/>
          </w:tcPr>
          <w:p>
            <w:pPr>
              <w:widowControl/>
              <w:jc w:val="center"/>
              <w:rPr>
                <w:rFonts w:ascii="Times New Roman" w:hAnsi="Times New Roman" w:cs="Times New Roman"/>
                <w:sz w:val="21"/>
              </w:rPr>
            </w:pPr>
            <w:r>
              <w:rPr>
                <w:rFonts w:ascii="Times New Roman" w:hAnsi="Times New Roman" w:cs="Times New Roman"/>
                <w:sz w:val="21"/>
              </w:rPr>
              <w:t>100.00</w:t>
            </w:r>
          </w:p>
        </w:tc>
        <w:tc>
          <w:tcPr>
            <w:tcW w:w="1134" w:type="dxa"/>
            <w:vAlign w:val="center"/>
          </w:tcPr>
          <w:p>
            <w:pPr>
              <w:widowControl/>
              <w:jc w:val="center"/>
              <w:rPr>
                <w:rFonts w:ascii="Times New Roman" w:hAnsi="Times New Roman" w:cs="Times New Roman"/>
                <w:sz w:val="21"/>
              </w:rPr>
            </w:pPr>
            <w:r>
              <w:rPr>
                <w:rFonts w:ascii="Times New Roman" w:hAnsi="Times New Roman" w:cs="Times New Roman"/>
                <w:sz w:val="21"/>
              </w:rPr>
              <w:t>0.00</w:t>
            </w:r>
          </w:p>
        </w:tc>
        <w:tc>
          <w:tcPr>
            <w:tcW w:w="1382" w:type="dxa"/>
            <w:vAlign w:val="center"/>
          </w:tcPr>
          <w:p>
            <w:pPr>
              <w:widowControl/>
              <w:jc w:val="center"/>
              <w:rPr>
                <w:rFonts w:ascii="Times New Roman" w:hAnsi="Times New Roman" w:cs="Times New Roman"/>
                <w:sz w:val="21"/>
              </w:rPr>
            </w:pPr>
            <w:r>
              <w:rPr>
                <w:rFonts w:ascii="Times New Roman" w:hAnsi="Times New Roman" w:cs="Times New Roman"/>
                <w:sz w:val="21"/>
              </w:rPr>
              <w:t>0.00</w:t>
            </w:r>
          </w:p>
        </w:tc>
        <w:tc>
          <w:tcPr>
            <w:tcW w:w="1091" w:type="dxa"/>
            <w:vAlign w:val="center"/>
          </w:tcPr>
          <w:p>
            <w:pPr>
              <w:widowControl/>
              <w:jc w:val="center"/>
              <w:rPr>
                <w:rFonts w:ascii="Times New Roman" w:hAnsi="Times New Roman" w:cs="Times New Roman"/>
                <w:sz w:val="21"/>
              </w:rPr>
            </w:pPr>
            <w:r>
              <w:rPr>
                <w:rFonts w:ascii="Times New Roman" w:hAnsi="Times New Roman" w:cs="Times New Roman"/>
                <w:sz w:val="21"/>
              </w:rPr>
              <w:t>0.00</w:t>
            </w:r>
          </w:p>
        </w:tc>
        <w:tc>
          <w:tcPr>
            <w:tcW w:w="952" w:type="dxa"/>
            <w:vAlign w:val="center"/>
          </w:tcPr>
          <w:p>
            <w:pPr>
              <w:widowControl/>
              <w:jc w:val="center"/>
              <w:rPr>
                <w:rFonts w:ascii="Times New Roman" w:hAnsi="Times New Roman" w:cs="Times New Roman"/>
                <w:sz w:val="21"/>
              </w:rPr>
            </w:pPr>
            <w:r>
              <w:rPr>
                <w:rFonts w:ascii="Times New Roman" w:hAnsi="Times New Roman" w:cs="Times New Roman"/>
                <w:sz w:val="21"/>
              </w:rPr>
              <w:t>0.00</w:t>
            </w:r>
          </w:p>
        </w:tc>
      </w:tr>
    </w:tbl>
    <w:p/>
    <w:p>
      <w:pPr>
        <w:pStyle w:val="70"/>
        <w:spacing w:before="156" w:after="156"/>
        <w:ind w:left="360"/>
      </w:pPr>
      <w:r>
        <w:rPr>
          <w:rFonts w:hint="eastAsia"/>
        </w:rPr>
        <w:t>（2）对本</w:t>
      </w:r>
      <w:r>
        <w:t>专业的</w:t>
      </w:r>
      <w:r>
        <w:rPr>
          <w:rFonts w:hint="eastAsia"/>
        </w:rPr>
        <w:t>态度</w:t>
      </w:r>
    </w:p>
    <w:p>
      <w:pPr>
        <w:pStyle w:val="123"/>
        <w:ind w:firstLine="480"/>
      </w:pPr>
      <w:bookmarkStart w:id="126" w:name="PO_321121"/>
      <w:bookmarkEnd w:id="126"/>
      <w:r>
        <w:rPr>
          <w:rFonts w:hint="eastAsia"/>
        </w:rPr>
        <w:t>对于本专业的态度，86.86%的本科生表示“很喜欢”或“喜欢”所学专业，2.18%则表示“不喜欢”或“很不喜欢”本专业。</w:t>
      </w:r>
    </w:p>
    <w:p>
      <w:pPr>
        <w:jc w:val="center"/>
      </w:pPr>
      <w:bookmarkStart w:id="127" w:name="PO_321122"/>
      <w:bookmarkEnd w:id="127"/>
      <w:r>
        <w:rPr>
          <w:rFonts w:hint="eastAsia"/>
        </w:rPr>
        <w:drawing>
          <wp:inline distT="0" distB="0" distL="0" distR="0">
            <wp:extent cx="5007610" cy="2286000"/>
            <wp:effectExtent l="0" t="0" r="2540" b="0"/>
            <wp:docPr id="6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107"/>
        <w:spacing w:before="156" w:after="312"/>
      </w:pPr>
      <w:r>
        <w:rPr>
          <w:rFonts w:hint="eastAsia"/>
        </w:rPr>
        <w:t>本科生对待本专业的态度</w:t>
      </w:r>
    </w:p>
    <w:p>
      <w:pPr>
        <w:pStyle w:val="41"/>
        <w:ind w:firstLine="482"/>
        <w:rPr>
          <w:b/>
        </w:rPr>
      </w:pPr>
    </w:p>
    <w:p>
      <w:pPr>
        <w:pStyle w:val="123"/>
        <w:ind w:firstLine="482"/>
      </w:pPr>
      <w:r>
        <w:rPr>
          <w:rFonts w:hint="eastAsia"/>
          <w:b/>
        </w:rPr>
        <w:t>就专业而言</w:t>
      </w:r>
      <w:r>
        <w:rPr>
          <w:rFonts w:hint="eastAsia"/>
        </w:rPr>
        <w:t>，</w:t>
      </w:r>
      <w:bookmarkStart w:id="128" w:name="PO_321124"/>
      <w:bookmarkEnd w:id="128"/>
      <w:r>
        <w:rPr>
          <w:rFonts w:hint="eastAsia"/>
        </w:rPr>
        <w:t>方差检验显示，不同专业的本科生对本专业的喜欢程度存在非常显著差异（F=3.23，p&lt;0.001）。其中，对本专业的喜欢程度较高的专业依次为：表演（戏剧影视表演）、导演（影视编导）和戏剧影视文学(电视剧创作)。</w:t>
      </w:r>
    </w:p>
    <w:p>
      <w:pPr>
        <w:jc w:val="center"/>
      </w:pPr>
      <w:bookmarkStart w:id="129" w:name="PO_321125"/>
      <w:bookmarkEnd w:id="129"/>
    </w:p>
    <w:p>
      <w:pPr>
        <w:jc w:val="center"/>
      </w:pPr>
      <w:bookmarkStart w:id="130" w:name="PO_321126"/>
      <w:bookmarkEnd w:id="130"/>
      <w:r>
        <w:rPr>
          <w:rFonts w:hint="eastAsia"/>
        </w:rPr>
        <w:drawing>
          <wp:inline distT="0" distB="0" distL="0" distR="0">
            <wp:extent cx="5494655" cy="2233930"/>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107"/>
        <w:spacing w:before="156" w:after="312"/>
      </w:pPr>
      <w:r>
        <w:rPr>
          <w:rFonts w:hint="eastAsia"/>
        </w:rPr>
        <w:t>不同专业本科生对待本专业的态度</w:t>
      </w:r>
    </w:p>
    <w:p>
      <w:pPr>
        <w:pStyle w:val="123"/>
        <w:ind w:firstLine="480"/>
      </w:pPr>
    </w:p>
    <w:p>
      <w:pPr>
        <w:pStyle w:val="70"/>
        <w:spacing w:before="156" w:after="156"/>
        <w:ind w:left="360"/>
      </w:pPr>
      <w:r>
        <w:rPr>
          <w:rFonts w:hint="eastAsia"/>
        </w:rPr>
        <w:t>（3）从事与</w:t>
      </w:r>
      <w:r>
        <w:t>本专业相关</w:t>
      </w:r>
      <w:r>
        <w:rPr>
          <w:rFonts w:hint="eastAsia"/>
        </w:rPr>
        <w:t>工作</w:t>
      </w:r>
      <w:r>
        <w:t>的</w:t>
      </w:r>
      <w:r>
        <w:rPr>
          <w:rFonts w:hint="eastAsia"/>
        </w:rPr>
        <w:t>意愿</w:t>
      </w:r>
    </w:p>
    <w:p>
      <w:pPr>
        <w:pStyle w:val="123"/>
        <w:ind w:firstLine="480"/>
      </w:pPr>
      <w:bookmarkStart w:id="131" w:name="PO_321131"/>
      <w:bookmarkEnd w:id="131"/>
      <w:r>
        <w:rPr>
          <w:rFonts w:hint="eastAsia"/>
        </w:rPr>
        <w:t>对于从事本专业相关工作的意愿，83.58%的本科生表示“很愿意”或“愿意”从事本专业相关工作，同时，有4.01%的本科生则“不愿意”或“很不愿意”从事本专业相关工作。</w:t>
      </w:r>
    </w:p>
    <w:p>
      <w:pPr>
        <w:jc w:val="center"/>
      </w:pPr>
      <w:bookmarkStart w:id="132" w:name="PO_321132"/>
      <w:bookmarkEnd w:id="132"/>
      <w:r>
        <w:rPr>
          <w:rFonts w:hint="eastAsia"/>
        </w:rPr>
        <w:drawing>
          <wp:inline distT="0" distB="0" distL="0" distR="0">
            <wp:extent cx="5007610" cy="2286000"/>
            <wp:effectExtent l="0" t="0" r="2540" b="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107"/>
        <w:spacing w:before="156" w:after="312"/>
      </w:pPr>
      <w:r>
        <w:rPr>
          <w:rFonts w:hint="eastAsia"/>
        </w:rPr>
        <w:t>本科生从事与本专业相关工作的意愿</w:t>
      </w:r>
    </w:p>
    <w:p>
      <w:pPr>
        <w:pStyle w:val="123"/>
        <w:ind w:firstLine="482"/>
      </w:pPr>
      <w:r>
        <w:rPr>
          <w:rFonts w:hint="eastAsia"/>
          <w:b/>
        </w:rPr>
        <w:t>就专业而言</w:t>
      </w:r>
      <w:r>
        <w:rPr>
          <w:rFonts w:hint="eastAsia"/>
        </w:rPr>
        <w:t>，</w:t>
      </w:r>
      <w:bookmarkStart w:id="133" w:name="PO_321134"/>
      <w:bookmarkEnd w:id="133"/>
      <w:r>
        <w:rPr>
          <w:rFonts w:hint="eastAsia"/>
        </w:rPr>
        <w:t>方差检验显示，不同专业的本科生对从事本专业相关工作的意愿存在显著差异（F=2.95，p&lt;0.01）。其中，从事本专业相关工作意愿较高的专业是：表演（戏剧影视表演）、戏剧影视文学(电视剧创作)和表演（音乐剧）。</w:t>
      </w:r>
    </w:p>
    <w:p>
      <w:pPr>
        <w:jc w:val="center"/>
      </w:pPr>
      <w:bookmarkStart w:id="134" w:name="PO_321135"/>
      <w:bookmarkEnd w:id="134"/>
    </w:p>
    <w:p>
      <w:pPr>
        <w:pStyle w:val="41"/>
        <w:ind w:firstLine="480"/>
      </w:pPr>
    </w:p>
    <w:p>
      <w:pPr>
        <w:jc w:val="center"/>
      </w:pPr>
      <w:bookmarkStart w:id="135" w:name="PO_321136"/>
      <w:bookmarkEnd w:id="135"/>
      <w:r>
        <w:rPr>
          <w:rFonts w:hint="eastAsia"/>
        </w:rPr>
        <w:drawing>
          <wp:inline distT="0" distB="0" distL="0" distR="0">
            <wp:extent cx="5511800" cy="2277110"/>
            <wp:effectExtent l="0" t="0" r="0" b="8890"/>
            <wp:docPr id="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107"/>
        <w:spacing w:before="156" w:after="312"/>
      </w:pPr>
      <w:r>
        <w:rPr>
          <w:rFonts w:hint="eastAsia"/>
        </w:rPr>
        <w:t>不同专业本科生从事与本专业相关工作的意愿</w:t>
      </w:r>
    </w:p>
    <w:p>
      <w:pPr>
        <w:pStyle w:val="41"/>
        <w:ind w:firstLine="480"/>
      </w:pPr>
    </w:p>
    <w:p>
      <w:pPr>
        <w:pStyle w:val="67"/>
        <w:spacing w:before="156" w:after="156"/>
        <w:ind w:left="240"/>
      </w:pPr>
      <w:bookmarkStart w:id="136" w:name="_Toc486857485"/>
      <w:r>
        <w:rPr>
          <w:rFonts w:hint="eastAsia"/>
        </w:rPr>
        <w:t>2.专业培养反馈</w:t>
      </w:r>
      <w:bookmarkEnd w:id="136"/>
    </w:p>
    <w:p>
      <w:pPr>
        <w:pStyle w:val="41"/>
        <w:ind w:firstLine="482"/>
        <w:rPr>
          <w:color w:val="FF0000"/>
        </w:rPr>
      </w:pPr>
      <w:r>
        <w:rPr>
          <w:rFonts w:hint="eastAsia"/>
          <w:b/>
        </w:rPr>
        <w:t>专业培养反馈</w:t>
      </w:r>
      <w:r>
        <w:t>：这是毕业生</w:t>
      </w:r>
      <w:r>
        <w:rPr>
          <w:rFonts w:hint="eastAsia"/>
        </w:rPr>
        <w:t>的</w:t>
      </w:r>
      <w:r>
        <w:t>主观判断指标，</w:t>
      </w:r>
      <w:r>
        <w:rPr>
          <w:rFonts w:hint="eastAsia"/>
        </w:rPr>
        <w:t>反映</w:t>
      </w:r>
      <w:r>
        <w:t>了</w:t>
      </w:r>
      <w:r>
        <w:rPr>
          <w:rFonts w:hint="eastAsia"/>
        </w:rPr>
        <w:t>毕业生</w:t>
      </w:r>
      <w:r>
        <w:t>对学校专业培养的满意程度</w:t>
      </w:r>
      <w:r>
        <w:rPr>
          <w:rFonts w:hint="eastAsia"/>
        </w:rPr>
        <w:t>，</w:t>
      </w:r>
      <w:r>
        <w:t>主要</w:t>
      </w:r>
      <w:r>
        <w:rPr>
          <w:rFonts w:hint="eastAsia"/>
        </w:rPr>
        <w:t>包括对本</w:t>
      </w:r>
      <w:r>
        <w:t>专业</w:t>
      </w:r>
      <w:r>
        <w:rPr>
          <w:rFonts w:hint="eastAsia"/>
        </w:rPr>
        <w:t>课程设置</w:t>
      </w:r>
      <w:r>
        <w:t>的评价、</w:t>
      </w:r>
      <w:r>
        <w:rPr>
          <w:rFonts w:hint="eastAsia"/>
        </w:rPr>
        <w:t>对本</w:t>
      </w:r>
      <w:r>
        <w:t>专业</w:t>
      </w:r>
      <w:r>
        <w:rPr>
          <w:rFonts w:hint="eastAsia"/>
        </w:rPr>
        <w:t>教师授课</w:t>
      </w:r>
      <w:r>
        <w:t>水平的评价、</w:t>
      </w:r>
      <w:r>
        <w:rPr>
          <w:rFonts w:hint="eastAsia"/>
        </w:rPr>
        <w:t>所学</w:t>
      </w:r>
      <w:r>
        <w:t>专业的</w:t>
      </w:r>
      <w:r>
        <w:rPr>
          <w:rFonts w:hint="eastAsia"/>
        </w:rPr>
        <w:t>知识和</w:t>
      </w:r>
      <w:r>
        <w:t>技能满足</w:t>
      </w:r>
      <w:r>
        <w:rPr>
          <w:rFonts w:hint="eastAsia"/>
        </w:rPr>
        <w:t>工作需要</w:t>
      </w:r>
      <w:r>
        <w:t>的情况、对所学专业</w:t>
      </w:r>
      <w:r>
        <w:rPr>
          <w:rFonts w:hint="eastAsia"/>
        </w:rPr>
        <w:t>的</w:t>
      </w:r>
      <w:r>
        <w:t>社会需求程度的评价</w:t>
      </w:r>
      <w:r>
        <w:rPr>
          <w:rFonts w:hint="eastAsia"/>
        </w:rPr>
        <w:t>和各项</w:t>
      </w:r>
      <w:r>
        <w:t>能力训练</w:t>
      </w:r>
      <w:r>
        <w:rPr>
          <w:rFonts w:hint="eastAsia"/>
        </w:rPr>
        <w:t>对</w:t>
      </w:r>
      <w:r>
        <w:t>实际工作</w:t>
      </w:r>
      <w:r>
        <w:rPr>
          <w:rFonts w:hint="eastAsia"/>
        </w:rPr>
        <w:t>的满足度</w:t>
      </w:r>
      <w:r>
        <w:t>方面。</w:t>
      </w:r>
    </w:p>
    <w:p>
      <w:pPr>
        <w:pStyle w:val="70"/>
        <w:spacing w:before="156" w:after="156"/>
        <w:ind w:left="360"/>
      </w:pPr>
      <w:r>
        <w:rPr>
          <w:rFonts w:hint="eastAsia"/>
        </w:rPr>
        <w:t>（1）对本专业课程</w:t>
      </w:r>
      <w:r>
        <w:t>设置</w:t>
      </w:r>
      <w:r>
        <w:rPr>
          <w:rFonts w:hint="eastAsia"/>
        </w:rPr>
        <w:t>的</w:t>
      </w:r>
      <w:r>
        <w:t>评价</w:t>
      </w:r>
    </w:p>
    <w:p>
      <w:pPr>
        <w:pStyle w:val="123"/>
        <w:ind w:firstLine="480"/>
      </w:pPr>
      <w:bookmarkStart w:id="137" w:name="PO_321211"/>
      <w:bookmarkEnd w:id="137"/>
      <w:r>
        <w:rPr>
          <w:rFonts w:hint="eastAsia"/>
        </w:rPr>
        <w:t>对于本专业课程设置的满意程度，表示“很满意”或“满意”的本科生占78.11%，表示“不满意”或“很不满意”的占5.11%。</w:t>
      </w:r>
    </w:p>
    <w:p>
      <w:pPr>
        <w:jc w:val="center"/>
      </w:pPr>
      <w:bookmarkStart w:id="138" w:name="PO_321212"/>
      <w:bookmarkEnd w:id="138"/>
      <w:r>
        <w:rPr>
          <w:rFonts w:hint="eastAsia"/>
        </w:rPr>
        <w:drawing>
          <wp:inline distT="0" distB="0" distL="0" distR="0">
            <wp:extent cx="5007610" cy="2286000"/>
            <wp:effectExtent l="0" t="0" r="2540" b="0"/>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107"/>
        <w:spacing w:before="156" w:after="312"/>
      </w:pPr>
      <w:r>
        <w:rPr>
          <w:rFonts w:hint="eastAsia"/>
        </w:rPr>
        <w:t>本科生对本专业课程设置的评价</w:t>
      </w:r>
    </w:p>
    <w:p>
      <w:pPr>
        <w:pStyle w:val="123"/>
        <w:ind w:firstLine="482"/>
      </w:pPr>
      <w:r>
        <w:rPr>
          <w:rFonts w:hint="eastAsia"/>
          <w:b/>
        </w:rPr>
        <w:t>就专业而言</w:t>
      </w:r>
      <w:r>
        <w:rPr>
          <w:rFonts w:hint="eastAsia"/>
        </w:rPr>
        <w:t>，</w:t>
      </w:r>
      <w:bookmarkStart w:id="139" w:name="PO_321214"/>
      <w:bookmarkEnd w:id="139"/>
      <w:r>
        <w:rPr>
          <w:rFonts w:hint="eastAsia"/>
        </w:rPr>
        <w:t>方差检验显示，不同专业的本科生对本专业课程设置的评价存在非常显著差异（F=3.95，p&lt;0.001）。其中，对于本专业课程设置满意程度较高的专业为：表演（戏剧影视表演）、戏剧学(戏剧史论与批评)和戏剧影视文学(电视剧创作)。</w:t>
      </w:r>
    </w:p>
    <w:p>
      <w:pPr>
        <w:pStyle w:val="41"/>
        <w:ind w:firstLine="480"/>
      </w:pPr>
      <w:bookmarkStart w:id="140" w:name="PO_321215"/>
      <w:bookmarkEnd w:id="140"/>
    </w:p>
    <w:p>
      <w:pPr>
        <w:jc w:val="center"/>
      </w:pPr>
      <w:bookmarkStart w:id="141" w:name="PO_321216"/>
      <w:bookmarkEnd w:id="141"/>
      <w:r>
        <w:rPr>
          <w:rFonts w:hint="eastAsia"/>
        </w:rPr>
        <w:drawing>
          <wp:inline distT="0" distB="0" distL="0" distR="0">
            <wp:extent cx="5562600" cy="2371725"/>
            <wp:effectExtent l="19050" t="0" r="19050" b="0"/>
            <wp:docPr id="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107"/>
        <w:spacing w:before="156" w:after="312"/>
      </w:pPr>
      <w:r>
        <w:rPr>
          <w:rFonts w:hint="eastAsia"/>
        </w:rPr>
        <w:t>不同专业本科生对本专业课程设置的评价</w:t>
      </w:r>
    </w:p>
    <w:p>
      <w:pPr>
        <w:pStyle w:val="41"/>
        <w:ind w:firstLine="480"/>
      </w:pPr>
    </w:p>
    <w:p>
      <w:pPr>
        <w:pStyle w:val="70"/>
        <w:spacing w:before="156" w:after="156"/>
        <w:ind w:left="360"/>
      </w:pPr>
      <w:r>
        <w:rPr>
          <w:rFonts w:hint="eastAsia"/>
        </w:rPr>
        <w:t>（2）对本</w:t>
      </w:r>
      <w:r>
        <w:t>专业教师授课水平</w:t>
      </w:r>
      <w:r>
        <w:rPr>
          <w:rFonts w:hint="eastAsia"/>
        </w:rPr>
        <w:t>的</w:t>
      </w:r>
      <w:r>
        <w:t>评价</w:t>
      </w:r>
    </w:p>
    <w:p>
      <w:pPr>
        <w:pStyle w:val="123"/>
        <w:ind w:firstLine="480"/>
      </w:pPr>
      <w:bookmarkStart w:id="142" w:name="PO_321221"/>
      <w:bookmarkEnd w:id="142"/>
      <w:r>
        <w:rPr>
          <w:rFonts w:hint="eastAsia"/>
        </w:rPr>
        <w:t>对于专业教师授课水平的评价，89.42%的本科生表示“很满意”或“满意”，1.09%的本科生则表示“不满意”或“很不满意”。</w:t>
      </w:r>
    </w:p>
    <w:p>
      <w:pPr>
        <w:jc w:val="center"/>
      </w:pPr>
      <w:bookmarkStart w:id="143" w:name="PO_321222"/>
      <w:bookmarkEnd w:id="143"/>
      <w:r>
        <w:rPr>
          <w:rFonts w:hint="eastAsia"/>
        </w:rPr>
        <w:drawing>
          <wp:inline distT="0" distB="0" distL="0" distR="0">
            <wp:extent cx="5007610" cy="2286000"/>
            <wp:effectExtent l="0" t="0" r="2540" b="0"/>
            <wp:docPr id="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107"/>
        <w:spacing w:before="156" w:after="312"/>
      </w:pPr>
      <w:r>
        <w:rPr>
          <w:rFonts w:hint="eastAsia"/>
        </w:rPr>
        <w:t>本科生对本专业教师授课水平的评价</w:t>
      </w:r>
    </w:p>
    <w:p>
      <w:pPr>
        <w:pStyle w:val="41"/>
        <w:ind w:firstLine="480"/>
      </w:pPr>
    </w:p>
    <w:p>
      <w:pPr>
        <w:pStyle w:val="123"/>
        <w:ind w:firstLine="482"/>
      </w:pPr>
      <w:r>
        <w:rPr>
          <w:rFonts w:hint="eastAsia"/>
          <w:b/>
        </w:rPr>
        <w:t>就专业而言</w:t>
      </w:r>
      <w:r>
        <w:rPr>
          <w:rFonts w:hint="eastAsia"/>
        </w:rPr>
        <w:t>，</w:t>
      </w:r>
      <w:bookmarkStart w:id="144" w:name="PO_321224"/>
      <w:bookmarkEnd w:id="144"/>
      <w:r>
        <w:rPr>
          <w:rFonts w:hint="eastAsia"/>
        </w:rPr>
        <w:t>方差</w:t>
      </w:r>
      <w:r>
        <w:t>检验显示</w:t>
      </w:r>
      <w:r>
        <w:rPr>
          <w:rFonts w:hint="eastAsia"/>
        </w:rPr>
        <w:t>，不同专业的本科生对本专业教师授课水平的评价存在非常显著差异（F=4.13，p&lt;0.001）。其中，对专业教师授课水平的评价较高的专业有：表演（戏剧影视表演）、戏剧学(戏剧史论与批评)和戏剧影视美术设计(舞台灯光)。</w:t>
      </w:r>
    </w:p>
    <w:p>
      <w:pPr>
        <w:pStyle w:val="41"/>
        <w:ind w:firstLine="480"/>
      </w:pPr>
      <w:bookmarkStart w:id="145" w:name="PO_321225"/>
      <w:bookmarkEnd w:id="145"/>
    </w:p>
    <w:p>
      <w:pPr>
        <w:jc w:val="center"/>
      </w:pPr>
      <w:bookmarkStart w:id="146" w:name="PO_321226"/>
      <w:bookmarkEnd w:id="146"/>
      <w:r>
        <w:rPr>
          <w:rFonts w:hint="eastAsia"/>
        </w:rPr>
        <w:drawing>
          <wp:inline distT="0" distB="0" distL="0" distR="0">
            <wp:extent cx="5520690" cy="2268220"/>
            <wp:effectExtent l="0" t="0" r="3810" b="0"/>
            <wp:docPr id="1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107"/>
        <w:spacing w:before="156" w:after="312"/>
      </w:pPr>
      <w:r>
        <w:rPr>
          <w:rFonts w:hint="eastAsia"/>
        </w:rPr>
        <w:t>不同专业本科生对本专业教师授课水平的评价</w:t>
      </w:r>
    </w:p>
    <w:p>
      <w:pPr>
        <w:pStyle w:val="41"/>
        <w:ind w:firstLine="480"/>
      </w:pPr>
    </w:p>
    <w:p>
      <w:pPr>
        <w:pStyle w:val="70"/>
        <w:spacing w:before="156" w:after="156"/>
        <w:ind w:left="360"/>
      </w:pPr>
      <w:r>
        <w:rPr>
          <w:rFonts w:hint="eastAsia"/>
        </w:rPr>
        <w:t>（3）所学</w:t>
      </w:r>
      <w:r>
        <w:t>专业知识</w:t>
      </w:r>
      <w:r>
        <w:rPr>
          <w:rFonts w:hint="eastAsia"/>
        </w:rPr>
        <w:t>和</w:t>
      </w:r>
      <w:r>
        <w:t>技能</w:t>
      </w:r>
      <w:r>
        <w:rPr>
          <w:rFonts w:hint="eastAsia"/>
        </w:rPr>
        <w:t>满足工作</w:t>
      </w:r>
      <w:r>
        <w:t>需要</w:t>
      </w:r>
      <w:r>
        <w:rPr>
          <w:rFonts w:hint="eastAsia"/>
        </w:rPr>
        <w:t>的</w:t>
      </w:r>
      <w:r>
        <w:t>情况</w:t>
      </w:r>
    </w:p>
    <w:p>
      <w:pPr>
        <w:pStyle w:val="123"/>
        <w:ind w:firstLine="480"/>
      </w:pPr>
      <w:bookmarkStart w:id="147" w:name="PO_321231"/>
      <w:bookmarkEnd w:id="147"/>
      <w:r>
        <w:rPr>
          <w:rFonts w:hint="eastAsia"/>
        </w:rPr>
        <w:t>对于所学专业知识和技能满足工作需要的情况，分别有70.44%和70.44%的本科生认为所学专业知识和专业技能足够满足工作需要（“很多”或“多”）；而6.20%和7.66%的本科生认为以上两个方面满足工作需要尚不足（“少”或“很少”）。</w:t>
      </w:r>
    </w:p>
    <w:p>
      <w:pPr>
        <w:jc w:val="center"/>
      </w:pPr>
      <w:bookmarkStart w:id="148" w:name="PO_321232"/>
      <w:bookmarkEnd w:id="148"/>
      <w:r>
        <w:rPr>
          <w:rFonts w:hint="eastAsia"/>
        </w:rPr>
        <w:drawing>
          <wp:inline distT="0" distB="0" distL="0" distR="0">
            <wp:extent cx="5274310" cy="3076575"/>
            <wp:effectExtent l="19050" t="0" r="21590" b="9419"/>
            <wp:docPr id="70" name="图表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107"/>
        <w:spacing w:before="156" w:after="312"/>
      </w:pPr>
      <w:r>
        <w:rPr>
          <w:rFonts w:hint="eastAsia"/>
        </w:rPr>
        <w:t>本科生所学专业知识和技能满足工作需要的程度</w:t>
      </w:r>
    </w:p>
    <w:p>
      <w:pPr>
        <w:pStyle w:val="123"/>
        <w:ind w:firstLine="482"/>
      </w:pPr>
      <w:r>
        <w:rPr>
          <w:rFonts w:hint="eastAsia"/>
          <w:b/>
        </w:rPr>
        <w:t>就专业而言</w:t>
      </w:r>
      <w:r>
        <w:rPr>
          <w:rFonts w:hint="eastAsia"/>
        </w:rPr>
        <w:t>，</w:t>
      </w:r>
      <w:bookmarkStart w:id="149" w:name="PO_321234"/>
      <w:bookmarkEnd w:id="149"/>
      <w:r>
        <w:rPr>
          <w:rFonts w:hint="eastAsia"/>
        </w:rPr>
        <w:t>方差检验显示，不同专业的本科生对所学专业知识（F=2.60，p&lt;0.01）和专业技能（F=2.71，p&lt;0.01）满足工作需要的程度存在显著差异。其中，认为专业知识满足工作需要程度较高的专业有：表演（戏剧影视表演）、戏剧影视美术设计(舞台化装)和戏剧影视美术设计(舞台技术)；认为专业技能满足工作需要程度较高的专业有：导演（演出制作）、表演（戏剧影视表演）和戏剧影视美术设计(舞台技术)。</w:t>
      </w:r>
      <w:bookmarkStart w:id="150" w:name="PO_321235"/>
      <w:bookmarkEnd w:id="150"/>
    </w:p>
    <w:p>
      <w:pPr>
        <w:jc w:val="center"/>
      </w:pPr>
      <w:bookmarkStart w:id="151" w:name="PO_321236"/>
      <w:bookmarkEnd w:id="151"/>
      <w:r>
        <w:drawing>
          <wp:inline distT="0" distB="0" distL="0" distR="0">
            <wp:extent cx="5460365" cy="3009265"/>
            <wp:effectExtent l="19050" t="0" r="25874" b="569"/>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107"/>
        <w:spacing w:before="156" w:after="312"/>
      </w:pPr>
      <w:r>
        <w:rPr>
          <w:rFonts w:hint="eastAsia"/>
        </w:rPr>
        <w:t>不同专业本科生所学专业知识和技能满足工作需要的程度</w:t>
      </w:r>
    </w:p>
    <w:p>
      <w:pPr>
        <w:pStyle w:val="70"/>
        <w:spacing w:before="156" w:after="156"/>
        <w:ind w:left="360"/>
      </w:pPr>
      <w:r>
        <w:rPr>
          <w:rFonts w:hint="eastAsia"/>
        </w:rPr>
        <w:t>（</w:t>
      </w:r>
      <w:r>
        <w:t>4</w:t>
      </w:r>
      <w:r>
        <w:rPr>
          <w:rFonts w:hint="eastAsia"/>
        </w:rPr>
        <w:t>）对所学</w:t>
      </w:r>
      <w:r>
        <w:t>专业的社会需求程度的评价</w:t>
      </w:r>
    </w:p>
    <w:p>
      <w:pPr>
        <w:pStyle w:val="123"/>
        <w:ind w:firstLine="480"/>
      </w:pPr>
      <w:bookmarkStart w:id="152" w:name="PO_321241"/>
      <w:bookmarkEnd w:id="152"/>
      <w:r>
        <w:rPr>
          <w:rFonts w:hint="eastAsia"/>
        </w:rPr>
        <w:t>对于所学专业的社会需求程度评价，认为本专业社会需求“很高”或“高”的本科生占60.22%，认为需求“低”或“很低”的本科生占11.68%。</w:t>
      </w:r>
    </w:p>
    <w:p>
      <w:pPr>
        <w:jc w:val="center"/>
      </w:pPr>
      <w:bookmarkStart w:id="153" w:name="PO_321242"/>
      <w:bookmarkEnd w:id="153"/>
      <w:r>
        <w:rPr>
          <w:rFonts w:hint="eastAsia"/>
        </w:rPr>
        <w:drawing>
          <wp:inline distT="0" distB="0" distL="0" distR="0">
            <wp:extent cx="5007610" cy="2286000"/>
            <wp:effectExtent l="0" t="0" r="2540" b="0"/>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107"/>
        <w:spacing w:before="156" w:after="312"/>
      </w:pPr>
      <w:r>
        <w:rPr>
          <w:rFonts w:hint="eastAsia"/>
        </w:rPr>
        <w:t>本科生对所学专业的社会需求程度的评价</w:t>
      </w:r>
    </w:p>
    <w:p>
      <w:pPr>
        <w:pStyle w:val="41"/>
        <w:ind w:firstLine="480"/>
      </w:pPr>
    </w:p>
    <w:p>
      <w:pPr>
        <w:pStyle w:val="123"/>
        <w:ind w:firstLine="482"/>
      </w:pPr>
      <w:r>
        <w:rPr>
          <w:rFonts w:hint="eastAsia"/>
          <w:b/>
        </w:rPr>
        <w:t>就专业而言</w:t>
      </w:r>
      <w:r>
        <w:rPr>
          <w:rFonts w:hint="eastAsia"/>
        </w:rPr>
        <w:t>，</w:t>
      </w:r>
      <w:bookmarkStart w:id="154" w:name="PO_321244"/>
      <w:bookmarkEnd w:id="154"/>
      <w:r>
        <w:rPr>
          <w:rFonts w:hint="eastAsia"/>
        </w:rPr>
        <w:t>方差</w:t>
      </w:r>
      <w:r>
        <w:t>检验显示</w:t>
      </w:r>
      <w:r>
        <w:rPr>
          <w:rFonts w:hint="eastAsia"/>
        </w:rPr>
        <w:t>，不同专业的本科生对所学专业的社会需求程度的评价存在非常显著差异（F=4.76，p&lt;0.001）。其中对专业社会需求程度的评价较高的专业有：戏剧影视文学(电视剧创作)、表演（戏剧影视表演）和戏剧影视美术设计(舞台技术)。</w:t>
      </w:r>
    </w:p>
    <w:p>
      <w:pPr>
        <w:pStyle w:val="41"/>
        <w:ind w:firstLine="480"/>
      </w:pPr>
      <w:bookmarkStart w:id="155" w:name="PO_321245"/>
      <w:bookmarkEnd w:id="155"/>
    </w:p>
    <w:p>
      <w:pPr>
        <w:jc w:val="center"/>
      </w:pPr>
      <w:bookmarkStart w:id="156" w:name="PO_321246"/>
      <w:bookmarkEnd w:id="156"/>
      <w:r>
        <w:rPr>
          <w:rFonts w:hint="eastAsia"/>
        </w:rPr>
        <w:drawing>
          <wp:inline distT="0" distB="0" distL="0" distR="0">
            <wp:extent cx="5562600" cy="2371725"/>
            <wp:effectExtent l="19050" t="0" r="19050" b="0"/>
            <wp:docPr id="1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pStyle w:val="107"/>
        <w:spacing w:before="156" w:after="312"/>
      </w:pPr>
      <w:r>
        <w:rPr>
          <w:rFonts w:hint="eastAsia"/>
        </w:rPr>
        <w:t>不同专业本科生对所学专业的社会需求程度的评价</w:t>
      </w:r>
    </w:p>
    <w:p>
      <w:pPr>
        <w:pStyle w:val="41"/>
        <w:ind w:firstLine="480"/>
      </w:pPr>
    </w:p>
    <w:p>
      <w:pPr>
        <w:pStyle w:val="70"/>
        <w:spacing w:before="156" w:after="156"/>
        <w:ind w:left="360"/>
      </w:pPr>
      <w:r>
        <w:rPr>
          <w:rFonts w:hint="eastAsia"/>
        </w:rPr>
        <w:t>（</w:t>
      </w:r>
      <w:r>
        <w:t>5</w:t>
      </w:r>
      <w:r>
        <w:rPr>
          <w:rFonts w:hint="eastAsia"/>
        </w:rPr>
        <w:t>）能力训练对实际工作的满足度</w:t>
      </w:r>
    </w:p>
    <w:p>
      <w:pPr>
        <w:pStyle w:val="123"/>
        <w:ind w:firstLine="480"/>
      </w:pPr>
      <w:bookmarkStart w:id="157" w:name="PO_321251"/>
      <w:bookmarkEnd w:id="157"/>
      <w:r>
        <w:rPr>
          <w:rFonts w:hint="eastAsia"/>
        </w:rPr>
        <w:t>对在校期间接收的各项能力训练是否满足实际工作的需求进行评价，本科生对此的评分均超过4分。具体来看，满足度较高的三项能力为：执行能力、沟通与表达能力、学习能力；满足度较低的三项能力为：职业规划能力、组织与管理能力、创新能力。</w:t>
      </w:r>
    </w:p>
    <w:p>
      <w:pPr>
        <w:jc w:val="center"/>
      </w:pPr>
      <w:bookmarkStart w:id="158" w:name="PO_321252"/>
      <w:bookmarkEnd w:id="158"/>
      <w:r>
        <w:rPr>
          <w:rFonts w:hint="eastAsia"/>
        </w:rPr>
        <w:drawing>
          <wp:inline distT="0" distB="0" distL="0" distR="0">
            <wp:extent cx="5274310" cy="3076575"/>
            <wp:effectExtent l="19050" t="0" r="21590" b="9419"/>
            <wp:docPr id="1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pStyle w:val="107"/>
        <w:spacing w:before="156" w:after="312"/>
      </w:pPr>
      <w:r>
        <w:rPr>
          <w:rFonts w:hint="eastAsia"/>
        </w:rPr>
        <w:t>本科生能力训练对实际工作的满足度</w:t>
      </w:r>
    </w:p>
    <w:p>
      <w:pPr>
        <w:jc w:val="center"/>
      </w:pPr>
    </w:p>
    <w:p>
      <w:pPr>
        <w:pStyle w:val="41"/>
        <w:ind w:firstLine="480"/>
      </w:pPr>
    </w:p>
    <w:p>
      <w:pPr>
        <w:pStyle w:val="67"/>
        <w:spacing w:before="156" w:after="156"/>
        <w:ind w:left="240"/>
      </w:pPr>
      <w:bookmarkStart w:id="159" w:name="_Toc486857486"/>
      <w:r>
        <w:rPr>
          <w:rFonts w:hint="eastAsia"/>
        </w:rPr>
        <w:t>3.对就业教育及服务的评价</w:t>
      </w:r>
      <w:bookmarkEnd w:id="159"/>
    </w:p>
    <w:p>
      <w:pPr>
        <w:pStyle w:val="123"/>
        <w:ind w:firstLine="480"/>
      </w:pPr>
      <w:bookmarkStart w:id="160" w:name="PO_32131"/>
      <w:bookmarkEnd w:id="160"/>
      <w:r>
        <w:rPr>
          <w:rFonts w:hint="eastAsia"/>
        </w:rPr>
        <w:t>对于本校就业教育及服务的评价，调查从本科生的参与比例和满意程度两个方面予以衡量。结果显示，在学校组织的各项就业教育及服务中，本科生参与比例较高的项目依次为：就业指导课程（92.34%），就业实习/实践（76.28%），就业信息服务（75.91%）。而从满意程度</w:t>
      </w:r>
      <w:r>
        <w:rPr>
          <w:rStyle w:val="31"/>
        </w:rPr>
        <w:footnoteReference w:id="3"/>
      </w:r>
      <w:r>
        <w:rPr>
          <w:rFonts w:hint="eastAsia"/>
        </w:rPr>
        <w:t>看，个体职业辅导（4.62）、困难帮扶（4.59）、团体职业辅导（4.57）是本科生较为满意的服务。</w:t>
      </w:r>
    </w:p>
    <w:p>
      <w:pPr>
        <w:jc w:val="center"/>
      </w:pPr>
      <w:bookmarkStart w:id="161" w:name="PO_32132"/>
      <w:bookmarkEnd w:id="161"/>
      <w:r>
        <w:rPr>
          <w:rFonts w:hint="eastAsia"/>
        </w:rPr>
        <w:drawing>
          <wp:inline distT="0" distB="0" distL="0" distR="0">
            <wp:extent cx="5274310" cy="3076575"/>
            <wp:effectExtent l="19050" t="0" r="21590" b="9419"/>
            <wp:docPr id="72" name="图表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107"/>
        <w:spacing w:before="156" w:after="312"/>
      </w:pPr>
      <w:r>
        <w:rPr>
          <w:rFonts w:hint="eastAsia"/>
        </w:rPr>
        <w:t>本科生就业教育及服务的参与情况和满意程度</w:t>
      </w:r>
    </w:p>
    <w:p>
      <w:pPr>
        <w:pStyle w:val="41"/>
        <w:ind w:firstLine="480"/>
      </w:pPr>
    </w:p>
    <w:p>
      <w:pPr>
        <w:pStyle w:val="67"/>
        <w:spacing w:before="156" w:after="156"/>
        <w:ind w:left="240"/>
      </w:pPr>
      <w:bookmarkStart w:id="162" w:name="_Toc486857487"/>
      <w:r>
        <w:t>4</w:t>
      </w:r>
      <w:r>
        <w:rPr>
          <w:rFonts w:hint="eastAsia"/>
        </w:rPr>
        <w:t>.对创业教育及服务的评价</w:t>
      </w:r>
      <w:bookmarkEnd w:id="162"/>
    </w:p>
    <w:p>
      <w:pPr>
        <w:pStyle w:val="123"/>
        <w:ind w:firstLine="480"/>
      </w:pPr>
      <w:bookmarkStart w:id="163" w:name="PO_32141"/>
      <w:bookmarkEnd w:id="163"/>
      <w:r>
        <w:rPr>
          <w:rFonts w:hint="eastAsia"/>
        </w:rPr>
        <w:t>对于本校创业教育及服务的评价，调查从本科生的参与比例和满意程度两个方面予以衡量。结果显示，在学校组织的各项创业教育及服务中，本科生参与项目比例较高的依次为：创业相关讲座（40.51%），创业课程（39.05%），与创业者交流（24.82%）。而从满意程度看，创业计划大赛（4.60）、参与创业企业的实习项目（4.59）、参观创业企业（4.53）是本科生较为满意的服务。</w:t>
      </w:r>
    </w:p>
    <w:p>
      <w:pPr>
        <w:jc w:val="center"/>
      </w:pPr>
      <w:bookmarkStart w:id="164" w:name="PO_32142"/>
      <w:bookmarkEnd w:id="164"/>
      <w:r>
        <w:rPr>
          <w:rFonts w:hint="eastAsia"/>
        </w:rPr>
        <w:drawing>
          <wp:inline distT="0" distB="0" distL="0" distR="0">
            <wp:extent cx="5276215" cy="2333625"/>
            <wp:effectExtent l="19050" t="0" r="19467" b="9382"/>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Style w:val="107"/>
        <w:spacing w:before="156" w:after="312"/>
      </w:pPr>
      <w:r>
        <w:rPr>
          <w:rFonts w:hint="eastAsia"/>
        </w:rPr>
        <w:t>本科生创业教育及服务的参与情况和满意程度</w:t>
      </w:r>
    </w:p>
    <w:p>
      <w:pPr>
        <w:pStyle w:val="67"/>
        <w:spacing w:before="156" w:after="156"/>
        <w:ind w:left="240"/>
        <w:rPr>
          <w:rFonts w:ascii="黑体" w:hAnsi="黑体"/>
          <w:sz w:val="24"/>
        </w:rPr>
      </w:pPr>
      <w:bookmarkStart w:id="165" w:name="_Toc486857488"/>
      <w:r>
        <w:t>5</w:t>
      </w:r>
      <w:r>
        <w:rPr>
          <w:rStyle w:val="71"/>
          <w:rFonts w:hint="eastAsia"/>
          <w:b/>
        </w:rPr>
        <w:t>.创业计划</w:t>
      </w:r>
      <w:r>
        <w:rPr>
          <w:rStyle w:val="71"/>
          <w:b/>
        </w:rPr>
        <w:t>情况</w:t>
      </w:r>
      <w:bookmarkEnd w:id="165"/>
    </w:p>
    <w:p>
      <w:pPr>
        <w:pStyle w:val="123"/>
        <w:ind w:firstLine="480"/>
      </w:pPr>
      <w:bookmarkStart w:id="166" w:name="PO_32151"/>
      <w:bookmarkEnd w:id="166"/>
      <w:r>
        <w:rPr>
          <w:rFonts w:hint="eastAsia"/>
        </w:rPr>
        <w:t>13.55%的本科生表示在上学期间已经开始创业，其中1.10%的本科生表示会在毕业后停止创业，而12.45%则表示会在创业路上继续前进。</w:t>
      </w:r>
    </w:p>
    <w:p>
      <w:pPr>
        <w:pStyle w:val="123"/>
        <w:ind w:firstLine="480"/>
      </w:pPr>
      <w:bookmarkStart w:id="167" w:name="PO_32152"/>
      <w:bookmarkEnd w:id="167"/>
      <w:r>
        <w:rPr>
          <w:rFonts w:hint="eastAsia"/>
        </w:rPr>
        <w:t>在上学期间没有创业的本科生中，3.30%的本科生表示会在毕业后马上开始创业，34.80%表示不会创业，48.35%打算工作积累一段时间再创业（平均时间3.44年）。</w:t>
      </w:r>
    </w:p>
    <w:p>
      <w:pPr>
        <w:jc w:val="center"/>
      </w:pPr>
      <w:bookmarkStart w:id="168" w:name="PO_32153"/>
      <w:bookmarkEnd w:id="168"/>
      <w:r>
        <w:rPr>
          <w:rFonts w:hint="eastAsia"/>
        </w:rPr>
        <w:drawing>
          <wp:inline distT="0" distB="0" distL="0" distR="0">
            <wp:extent cx="5026025" cy="3133725"/>
            <wp:effectExtent l="19050" t="0" r="22225" b="0"/>
            <wp:docPr id="1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pStyle w:val="107"/>
        <w:spacing w:before="156" w:after="312"/>
      </w:pPr>
      <w:r>
        <w:rPr>
          <w:rFonts w:hint="eastAsia"/>
        </w:rPr>
        <w:t>本科生创业计划情况</w:t>
      </w:r>
    </w:p>
    <w:p>
      <w:pPr>
        <w:pStyle w:val="123"/>
        <w:ind w:firstLine="480"/>
      </w:pPr>
    </w:p>
    <w:p>
      <w:pPr>
        <w:pStyle w:val="67"/>
        <w:spacing w:before="156" w:after="156"/>
        <w:ind w:left="240"/>
        <w:rPr>
          <w:rFonts w:ascii="黑体" w:hAnsi="黑体" w:cs="Times New Roman"/>
          <w:sz w:val="24"/>
          <w:szCs w:val="24"/>
        </w:rPr>
      </w:pPr>
      <w:bookmarkStart w:id="169" w:name="_Toc486857489"/>
      <w:r>
        <w:t>6</w:t>
      </w:r>
      <w:r>
        <w:rPr>
          <w:rStyle w:val="71"/>
          <w:rFonts w:hint="eastAsia"/>
          <w:b/>
        </w:rPr>
        <w:t>.创业教育的最大</w:t>
      </w:r>
      <w:r>
        <w:rPr>
          <w:rStyle w:val="71"/>
          <w:b/>
        </w:rPr>
        <w:t>收获</w:t>
      </w:r>
      <w:bookmarkEnd w:id="169"/>
    </w:p>
    <w:p>
      <w:pPr>
        <w:pStyle w:val="123"/>
        <w:ind w:firstLine="480"/>
      </w:pPr>
      <w:bookmarkStart w:id="170" w:name="PO_32161"/>
      <w:bookmarkEnd w:id="170"/>
      <w:r>
        <w:rPr>
          <w:rFonts w:hint="eastAsia"/>
        </w:rPr>
        <w:t>调查显示，本科生认为接受学校创业教育后最大的收获是“了解了相关创业政策”（26.28%），其次是“了解了什么是大学生创业”（23.72%），同时，也有18.25%的人表示在接受创业教育后没有任何收获。</w:t>
      </w:r>
    </w:p>
    <w:p>
      <w:pPr>
        <w:jc w:val="center"/>
      </w:pPr>
      <w:bookmarkStart w:id="171" w:name="PO_32162"/>
      <w:bookmarkEnd w:id="171"/>
      <w:r>
        <w:rPr>
          <w:rFonts w:hint="eastAsia"/>
        </w:rPr>
        <w:drawing>
          <wp:inline distT="0" distB="0" distL="0" distR="0">
            <wp:extent cx="5274310" cy="2343150"/>
            <wp:effectExtent l="19050" t="0" r="21590" b="0"/>
            <wp:docPr id="32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pStyle w:val="107"/>
        <w:spacing w:before="156" w:after="312"/>
      </w:pPr>
      <w:r>
        <w:rPr>
          <w:rFonts w:hint="eastAsia"/>
        </w:rPr>
        <w:t>本科生创业教育的最大收获</w:t>
      </w:r>
    </w:p>
    <w:p>
      <w:pPr>
        <w:pStyle w:val="41"/>
        <w:ind w:firstLine="480"/>
      </w:pPr>
    </w:p>
    <w:p>
      <w:pPr>
        <w:pStyle w:val="49"/>
        <w:spacing w:before="156" w:after="156"/>
        <w:ind w:left="120"/>
      </w:pPr>
      <w:bookmarkStart w:id="172" w:name="_Toc486857490"/>
      <w:r>
        <w:rPr>
          <w:rFonts w:hint="eastAsia"/>
        </w:rPr>
        <w:t>（二）本科生就业结果</w:t>
      </w:r>
      <w:bookmarkEnd w:id="172"/>
    </w:p>
    <w:p>
      <w:pPr>
        <w:pStyle w:val="123"/>
        <w:ind w:firstLine="482"/>
      </w:pPr>
      <w:r>
        <w:rPr>
          <w:rFonts w:hint="eastAsia"/>
          <w:b/>
        </w:rPr>
        <w:t>就业结果</w:t>
      </w:r>
      <w:r>
        <w:rPr>
          <w:b/>
        </w:rPr>
        <w:t>：</w:t>
      </w:r>
      <w:r>
        <w:rPr>
          <w:rFonts w:hint="eastAsia"/>
        </w:rPr>
        <w:t>毕业生</w:t>
      </w:r>
      <w:r>
        <w:t>目前</w:t>
      </w:r>
      <w:r>
        <w:rPr>
          <w:rFonts w:hint="eastAsia"/>
        </w:rPr>
        <w:t>的实际就业情况</w:t>
      </w:r>
      <w:r>
        <w:t>，主要</w:t>
      </w:r>
      <w:r>
        <w:rPr>
          <w:rFonts w:hint="eastAsia"/>
        </w:rPr>
        <w:t>包括：就业地区</w:t>
      </w:r>
      <w:r>
        <w:t>、</w:t>
      </w:r>
      <w:r>
        <w:rPr>
          <w:rFonts w:hint="eastAsia"/>
        </w:rPr>
        <w:t>就业</w:t>
      </w:r>
      <w:r>
        <w:t>单位类型和行业、就业满意度</w:t>
      </w:r>
      <w:r>
        <w:rPr>
          <w:rFonts w:hint="eastAsia"/>
        </w:rPr>
        <w:t>、</w:t>
      </w:r>
      <w:r>
        <w:t>薪资待遇</w:t>
      </w:r>
      <w:r>
        <w:rPr>
          <w:rFonts w:hint="eastAsia"/>
        </w:rPr>
        <w:t>（包括</w:t>
      </w:r>
      <w:r>
        <w:t>年薪和福利保障</w:t>
      </w:r>
      <w:r>
        <w:rPr>
          <w:rFonts w:hint="eastAsia"/>
        </w:rPr>
        <w:t>）</w:t>
      </w:r>
      <w:r>
        <w:t>、</w:t>
      </w:r>
      <w:r>
        <w:rPr>
          <w:rFonts w:hint="eastAsia"/>
        </w:rPr>
        <w:t>发展前景和</w:t>
      </w:r>
      <w:r>
        <w:t>稳定性、</w:t>
      </w:r>
      <w:r>
        <w:rPr>
          <w:rFonts w:hint="eastAsia"/>
        </w:rPr>
        <w:t>人职匹配情况、工作</w:t>
      </w:r>
      <w:r>
        <w:t>与期望相符</w:t>
      </w:r>
      <w:r>
        <w:rPr>
          <w:rFonts w:hint="eastAsia"/>
        </w:rPr>
        <w:t>情况等</w:t>
      </w:r>
      <w:r>
        <w:t>方面。</w:t>
      </w:r>
    </w:p>
    <w:p>
      <w:pPr>
        <w:pStyle w:val="123"/>
        <w:ind w:firstLine="480"/>
      </w:pPr>
      <w:r>
        <w:rPr>
          <w:rFonts w:hint="eastAsia"/>
        </w:rPr>
        <w:t>其中，</w:t>
      </w:r>
      <w:r>
        <w:t>就业满意度的高低</w:t>
      </w:r>
      <w:r>
        <w:rPr>
          <w:rFonts w:hint="eastAsia"/>
        </w:rPr>
        <w:t>，直接</w:t>
      </w:r>
      <w:r>
        <w:t>反映毕业生对</w:t>
      </w:r>
      <w:r>
        <w:rPr>
          <w:rFonts w:hint="eastAsia"/>
        </w:rPr>
        <w:t>从事</w:t>
      </w:r>
      <w:r>
        <w:t>工作的认可度</w:t>
      </w:r>
      <w:r>
        <w:rPr>
          <w:rFonts w:hint="eastAsia"/>
        </w:rPr>
        <w:t>，</w:t>
      </w:r>
      <w:r>
        <w:t>是衡量毕业生就业质量的重要指标</w:t>
      </w:r>
      <w:r>
        <w:rPr>
          <w:rFonts w:hint="eastAsia"/>
        </w:rPr>
        <w:t>。</w:t>
      </w:r>
    </w:p>
    <w:p>
      <w:pPr>
        <w:pStyle w:val="123"/>
        <w:ind w:firstLine="480"/>
      </w:pPr>
      <w:bookmarkStart w:id="173" w:name="_Toc486857491"/>
      <w:r>
        <w:rPr>
          <w:rFonts w:hint="eastAsia"/>
        </w:rPr>
        <w:t>人职匹配情况，主要检验所学专业与工作岗位的匹配度，反映了高校人才培养与市场需求的匹配性。</w:t>
      </w:r>
    </w:p>
    <w:p>
      <w:pPr>
        <w:pStyle w:val="67"/>
        <w:spacing w:before="156" w:after="156"/>
        <w:ind w:left="240"/>
      </w:pPr>
      <w:r>
        <w:t>1</w:t>
      </w:r>
      <w:r>
        <w:rPr>
          <w:rFonts w:hint="eastAsia"/>
        </w:rPr>
        <w:t>.就业地区</w:t>
      </w:r>
      <w:r>
        <w:rPr>
          <w:rStyle w:val="31"/>
        </w:rPr>
        <w:footnoteReference w:id="4"/>
      </w:r>
      <w:bookmarkEnd w:id="173"/>
    </w:p>
    <w:p>
      <w:pPr>
        <w:pStyle w:val="123"/>
        <w:ind w:firstLine="480"/>
      </w:pPr>
      <w:bookmarkStart w:id="174" w:name="PO_32211"/>
      <w:bookmarkEnd w:id="174"/>
      <w:r>
        <w:rPr>
          <w:rFonts w:hint="eastAsia"/>
        </w:rPr>
        <w:t>调查显示，94.04%的本科生落实在北京工作。从地理位置看，京外就业的本科生最主要选择在东部地区（5.96%）；从经济区域看，京外就业的本科生最主要选择在南部沿海经济区（3.31%）。总体来看，本校本科生多数选择留京工作发展。</w:t>
      </w:r>
    </w:p>
    <w:p>
      <w:pPr>
        <w:jc w:val="center"/>
      </w:pPr>
      <w:bookmarkStart w:id="175" w:name="PO_32212"/>
      <w:bookmarkEnd w:id="175"/>
      <w:r>
        <w:drawing>
          <wp:inline distT="0" distB="0" distL="0" distR="0">
            <wp:extent cx="5274310" cy="2875915"/>
            <wp:effectExtent l="19050" t="0" r="21590" b="557"/>
            <wp:docPr id="405" name="图表 4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pStyle w:val="107"/>
        <w:spacing w:before="156" w:after="312"/>
      </w:pPr>
      <w:r>
        <w:rPr>
          <w:rFonts w:hint="eastAsia"/>
        </w:rPr>
        <w:t>期望首选与最终落实就业地区（1）</w:t>
      </w:r>
    </w:p>
    <w:p>
      <w:pPr>
        <w:pStyle w:val="41"/>
        <w:ind w:firstLine="480"/>
      </w:pPr>
    </w:p>
    <w:p>
      <w:pPr>
        <w:jc w:val="center"/>
      </w:pPr>
      <w:bookmarkStart w:id="176" w:name="PO_32213"/>
      <w:bookmarkEnd w:id="176"/>
      <w:r>
        <w:drawing>
          <wp:inline distT="0" distB="0" distL="0" distR="0">
            <wp:extent cx="5274310" cy="2875915"/>
            <wp:effectExtent l="19050" t="0" r="21590" b="557"/>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Style w:val="107"/>
        <w:spacing w:before="156" w:after="312"/>
      </w:pPr>
      <w:r>
        <w:rPr>
          <w:rFonts w:hint="eastAsia"/>
        </w:rPr>
        <w:t>期望首选与最终落实就业地区（2）</w:t>
      </w:r>
    </w:p>
    <w:p>
      <w:pPr>
        <w:pStyle w:val="123"/>
        <w:ind w:firstLine="482"/>
      </w:pPr>
      <w:r>
        <w:rPr>
          <w:rFonts w:hint="eastAsia"/>
          <w:b/>
        </w:rPr>
        <w:t>从生源地区来看</w:t>
      </w:r>
      <w:r>
        <w:rPr>
          <w:rFonts w:hint="eastAsia"/>
        </w:rPr>
        <w:t>，</w:t>
      </w:r>
      <w:bookmarkStart w:id="177" w:name="PO_32214"/>
      <w:bookmarkEnd w:id="177"/>
      <w:r>
        <w:rPr>
          <w:rFonts w:hint="eastAsia"/>
        </w:rPr>
        <w:t>北京生源的本科生期望与最终在京就业的比例相同，皆为100.00%；而京外生源的本科生最终在京就业的比例为93.57%，低于期望（97.86%）。其他地区就业数据详见下表。</w:t>
      </w:r>
    </w:p>
    <w:p>
      <w:pPr>
        <w:pStyle w:val="55"/>
        <w:spacing w:before="312" w:after="156"/>
      </w:pPr>
      <w:bookmarkStart w:id="178" w:name="PO_32215"/>
      <w:bookmarkEnd w:id="178"/>
      <w:r>
        <w:rPr>
          <w:rFonts w:hint="eastAsia"/>
        </w:rPr>
        <w:t>不同生源地区本科生期望首选与最终落实就业地区（%）</w:t>
      </w:r>
    </w:p>
    <w:tbl>
      <w:tblPr>
        <w:tblStyle w:val="125"/>
        <w:tblW w:w="8135" w:type="dxa"/>
        <w:jc w:val="center"/>
        <w:tblInd w:w="0"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1081"/>
        <w:gridCol w:w="1082"/>
        <w:gridCol w:w="1493"/>
        <w:gridCol w:w="1493"/>
        <w:gridCol w:w="1493"/>
        <w:gridCol w:w="1493"/>
      </w:tblGrid>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416" w:hRule="atLeast"/>
          <w:jc w:val="center"/>
        </w:trPr>
        <w:tc>
          <w:tcPr>
            <w:tcW w:w="1081" w:type="dxa"/>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cs="Times New Roman"/>
                <w:b/>
                <w:bCs/>
                <w:color w:val="FFFFFF" w:themeColor="background1"/>
                <w:kern w:val="0"/>
                <w:sz w:val="21"/>
                <w:szCs w:val="21"/>
              </w:rPr>
              <w:t>生源</w:t>
            </w:r>
          </w:p>
        </w:tc>
        <w:tc>
          <w:tcPr>
            <w:tcW w:w="1082"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cs="Times New Roman"/>
                <w:b/>
                <w:bCs/>
                <w:color w:val="FFFFFF" w:themeColor="background1"/>
                <w:kern w:val="0"/>
                <w:sz w:val="21"/>
                <w:szCs w:val="21"/>
              </w:rPr>
              <w:t>类别</w:t>
            </w:r>
          </w:p>
        </w:tc>
        <w:tc>
          <w:tcPr>
            <w:tcW w:w="1493"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cs="Times New Roman"/>
                <w:b/>
                <w:bCs/>
                <w:color w:val="FFFFFF" w:themeColor="background1"/>
                <w:kern w:val="0"/>
                <w:sz w:val="21"/>
                <w:szCs w:val="21"/>
              </w:rPr>
              <w:t>北京</w:t>
            </w:r>
          </w:p>
        </w:tc>
        <w:tc>
          <w:tcPr>
            <w:tcW w:w="1493"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cs="Times New Roman"/>
                <w:b/>
                <w:bCs/>
                <w:color w:val="FFFFFF" w:themeColor="background1"/>
                <w:kern w:val="0"/>
                <w:sz w:val="21"/>
                <w:szCs w:val="21"/>
              </w:rPr>
              <w:t>东部</w:t>
            </w:r>
            <w:r>
              <w:rPr>
                <w:rFonts w:hint="eastAsia"/>
                <w:b/>
                <w:bCs/>
                <w:color w:val="FFFFFF" w:themeColor="background1"/>
                <w:sz w:val="21"/>
              </w:rPr>
              <w:t>地区</w:t>
            </w:r>
          </w:p>
        </w:tc>
        <w:tc>
          <w:tcPr>
            <w:tcW w:w="1493"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cs="Times New Roman"/>
                <w:b/>
                <w:bCs/>
                <w:color w:val="FFFFFF" w:themeColor="background1"/>
                <w:kern w:val="0"/>
                <w:sz w:val="21"/>
                <w:szCs w:val="21"/>
              </w:rPr>
              <w:t>中部</w:t>
            </w:r>
            <w:r>
              <w:rPr>
                <w:rFonts w:hint="eastAsia"/>
                <w:b/>
                <w:bCs/>
                <w:color w:val="FFFFFF" w:themeColor="background1"/>
                <w:sz w:val="21"/>
              </w:rPr>
              <w:t>地区</w:t>
            </w:r>
          </w:p>
        </w:tc>
        <w:tc>
          <w:tcPr>
            <w:tcW w:w="1493" w:type="dxa"/>
            <w:tcBorders>
              <w:top w:val="single" w:color="4BACC6" w:themeColor="accent5" w:sz="4" w:space="0"/>
              <w:bottom w:val="single" w:color="4BACC6" w:themeColor="accent5" w:sz="4" w:space="0"/>
              <w:right w:val="single" w:color="4BACC6" w:themeColor="accent5" w:sz="4" w:space="0"/>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cs="Times New Roman"/>
                <w:b/>
                <w:bCs/>
                <w:color w:val="FFFFFF" w:themeColor="background1"/>
                <w:kern w:val="0"/>
                <w:sz w:val="21"/>
                <w:szCs w:val="21"/>
              </w:rPr>
              <w:t>西部</w:t>
            </w:r>
            <w:r>
              <w:rPr>
                <w:rFonts w:hint="eastAsia"/>
                <w:b/>
                <w:bCs/>
                <w:color w:val="FFFFFF" w:themeColor="background1"/>
                <w:sz w:val="21"/>
              </w:rPr>
              <w:t>地区</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1081" w:type="dxa"/>
            <w:vMerge w:val="restart"/>
            <w:shd w:val="clear" w:color="auto" w:fill="DAEEF3" w:themeFill="accent5" w:themeFillTint="33"/>
            <w:vAlign w:val="center"/>
          </w:tcPr>
          <w:p>
            <w:pPr>
              <w:widowControl/>
              <w:jc w:val="center"/>
              <w:rPr>
                <w:rFonts w:cs="Times New Roman"/>
                <w:b/>
                <w:bCs/>
                <w:color w:val="000000"/>
                <w:kern w:val="0"/>
                <w:sz w:val="21"/>
                <w:szCs w:val="21"/>
              </w:rPr>
            </w:pPr>
            <w:r>
              <w:rPr>
                <w:rFonts w:hint="eastAsia" w:cs="Times New Roman"/>
                <w:b/>
                <w:bCs/>
                <w:color w:val="000000"/>
                <w:kern w:val="0"/>
                <w:sz w:val="21"/>
                <w:szCs w:val="21"/>
              </w:rPr>
              <w:t>北京生源</w:t>
            </w:r>
          </w:p>
        </w:tc>
        <w:tc>
          <w:tcPr>
            <w:tcW w:w="1082"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期望首选</w:t>
            </w:r>
          </w:p>
        </w:tc>
        <w:tc>
          <w:tcPr>
            <w:tcW w:w="1493"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100.00</w:t>
            </w:r>
          </w:p>
        </w:tc>
        <w:tc>
          <w:tcPr>
            <w:tcW w:w="1493"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493"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493"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1081" w:type="dxa"/>
            <w:vMerge w:val="continue"/>
            <w:vAlign w:val="center"/>
          </w:tcPr>
          <w:p>
            <w:pPr>
              <w:widowControl/>
              <w:jc w:val="center"/>
              <w:rPr>
                <w:rFonts w:cs="Times New Roman"/>
                <w:b/>
                <w:bCs/>
                <w:color w:val="000000"/>
                <w:kern w:val="0"/>
                <w:sz w:val="21"/>
                <w:szCs w:val="21"/>
              </w:rPr>
            </w:pPr>
          </w:p>
        </w:tc>
        <w:tc>
          <w:tcPr>
            <w:tcW w:w="1082" w:type="dxa"/>
            <w:vAlign w:val="center"/>
          </w:tcPr>
          <w:p>
            <w:pPr>
              <w:widowControl/>
              <w:jc w:val="center"/>
              <w:rPr>
                <w:rFonts w:cs="Times New Roman"/>
                <w:color w:val="000000"/>
                <w:kern w:val="0"/>
                <w:sz w:val="21"/>
                <w:szCs w:val="21"/>
              </w:rPr>
            </w:pPr>
            <w:r>
              <w:rPr>
                <w:rFonts w:hint="eastAsia" w:cs="Times New Roman"/>
                <w:color w:val="000000"/>
                <w:kern w:val="0"/>
                <w:sz w:val="21"/>
                <w:szCs w:val="21"/>
              </w:rPr>
              <w:t>最终落实</w:t>
            </w:r>
          </w:p>
        </w:tc>
        <w:tc>
          <w:tcPr>
            <w:tcW w:w="1493"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100.00</w:t>
            </w:r>
          </w:p>
        </w:tc>
        <w:tc>
          <w:tcPr>
            <w:tcW w:w="1493"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493"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493"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1081" w:type="dxa"/>
            <w:vMerge w:val="restart"/>
            <w:shd w:val="clear" w:color="auto" w:fill="DAEEF3" w:themeFill="accent5" w:themeFillTint="33"/>
            <w:vAlign w:val="center"/>
          </w:tcPr>
          <w:p>
            <w:pPr>
              <w:widowControl/>
              <w:jc w:val="center"/>
              <w:rPr>
                <w:rFonts w:cs="Times New Roman"/>
                <w:b/>
                <w:bCs/>
                <w:color w:val="000000"/>
                <w:kern w:val="0"/>
                <w:sz w:val="21"/>
                <w:szCs w:val="21"/>
              </w:rPr>
            </w:pPr>
            <w:r>
              <w:rPr>
                <w:rFonts w:hint="eastAsia" w:cs="Times New Roman"/>
                <w:b/>
                <w:bCs/>
                <w:color w:val="000000"/>
                <w:kern w:val="0"/>
                <w:sz w:val="21"/>
                <w:szCs w:val="21"/>
              </w:rPr>
              <w:t>京外生源</w:t>
            </w:r>
          </w:p>
        </w:tc>
        <w:tc>
          <w:tcPr>
            <w:tcW w:w="1082" w:type="dxa"/>
            <w:shd w:val="clear" w:color="auto" w:fill="DAEEF3" w:themeFill="accent5" w:themeFillTint="33"/>
            <w:vAlign w:val="center"/>
          </w:tcPr>
          <w:p>
            <w:pPr>
              <w:widowControl/>
              <w:jc w:val="center"/>
              <w:rPr>
                <w:rFonts w:cs="Times New Roman"/>
                <w:color w:val="000000"/>
                <w:kern w:val="0"/>
                <w:sz w:val="21"/>
                <w:szCs w:val="21"/>
              </w:rPr>
            </w:pPr>
            <w:r>
              <w:rPr>
                <w:rFonts w:hint="eastAsia" w:cs="Times New Roman"/>
                <w:color w:val="000000"/>
                <w:kern w:val="0"/>
                <w:sz w:val="21"/>
                <w:szCs w:val="21"/>
              </w:rPr>
              <w:t>期望首选</w:t>
            </w:r>
          </w:p>
        </w:tc>
        <w:tc>
          <w:tcPr>
            <w:tcW w:w="1493"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97.86</w:t>
            </w:r>
          </w:p>
        </w:tc>
        <w:tc>
          <w:tcPr>
            <w:tcW w:w="1493"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2.14</w:t>
            </w:r>
          </w:p>
        </w:tc>
        <w:tc>
          <w:tcPr>
            <w:tcW w:w="1493"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493"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1081" w:type="dxa"/>
            <w:vMerge w:val="continue"/>
            <w:vAlign w:val="center"/>
          </w:tcPr>
          <w:p>
            <w:pPr>
              <w:widowControl/>
              <w:jc w:val="center"/>
              <w:rPr>
                <w:rFonts w:cs="Times New Roman"/>
                <w:b/>
                <w:bCs/>
                <w:color w:val="000000"/>
                <w:kern w:val="0"/>
                <w:sz w:val="21"/>
                <w:szCs w:val="21"/>
              </w:rPr>
            </w:pPr>
          </w:p>
        </w:tc>
        <w:tc>
          <w:tcPr>
            <w:tcW w:w="1082" w:type="dxa"/>
            <w:vAlign w:val="center"/>
          </w:tcPr>
          <w:p>
            <w:pPr>
              <w:widowControl/>
              <w:jc w:val="center"/>
              <w:rPr>
                <w:rFonts w:cs="Times New Roman"/>
                <w:color w:val="000000"/>
                <w:kern w:val="0"/>
                <w:sz w:val="21"/>
                <w:szCs w:val="21"/>
              </w:rPr>
            </w:pPr>
            <w:r>
              <w:rPr>
                <w:rFonts w:hint="eastAsia" w:cs="Times New Roman"/>
                <w:color w:val="000000"/>
                <w:kern w:val="0"/>
                <w:sz w:val="21"/>
                <w:szCs w:val="21"/>
              </w:rPr>
              <w:t>最终落实</w:t>
            </w:r>
          </w:p>
        </w:tc>
        <w:tc>
          <w:tcPr>
            <w:tcW w:w="1493"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93.57</w:t>
            </w:r>
          </w:p>
        </w:tc>
        <w:tc>
          <w:tcPr>
            <w:tcW w:w="1493"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6.43</w:t>
            </w:r>
          </w:p>
        </w:tc>
        <w:tc>
          <w:tcPr>
            <w:tcW w:w="1493"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493"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bl>
    <w:p/>
    <w:p>
      <w:pPr>
        <w:pStyle w:val="123"/>
        <w:ind w:firstLine="482"/>
      </w:pPr>
      <w:r>
        <w:rPr>
          <w:rFonts w:hint="eastAsia"/>
          <w:b/>
        </w:rPr>
        <w:t>就专业</w:t>
      </w:r>
      <w:r>
        <w:rPr>
          <w:b/>
        </w:rPr>
        <w:t>而言</w:t>
      </w:r>
      <w:r>
        <w:rPr>
          <w:rFonts w:hint="eastAsia"/>
        </w:rPr>
        <w:t>，</w:t>
      </w:r>
      <w:bookmarkStart w:id="179" w:name="PO_32217"/>
      <w:bookmarkEnd w:id="179"/>
      <w:r>
        <w:rPr>
          <w:rFonts w:hint="eastAsia"/>
        </w:rPr>
        <w:t>表演等2个专业本科生期望首选在北京就业的比例最高，导演（演出制作）等2个专业本科生最终落实在京的比例最高。具体来看，本科生期望与落实在京就业比例相当的专业有：导演（演出制作）等6个专业；本科生期望在京就业的比例高于落实比例的专业有：戏剧影视导演等6个专业。其他地区就业数据详见下表。</w:t>
      </w:r>
    </w:p>
    <w:p>
      <w:pPr>
        <w:pStyle w:val="55"/>
        <w:spacing w:before="312" w:after="156"/>
      </w:pPr>
      <w:bookmarkStart w:id="180" w:name="PO_32218"/>
      <w:bookmarkEnd w:id="180"/>
      <w:bookmarkStart w:id="181" w:name="PO_32219"/>
      <w:bookmarkEnd w:id="181"/>
      <w:r>
        <w:rPr>
          <w:rFonts w:hint="eastAsia"/>
        </w:rPr>
        <w:t>不同专业本科生期望首选与最终落实就业地区（%）</w:t>
      </w:r>
    </w:p>
    <w:tbl>
      <w:tblPr>
        <w:tblStyle w:val="125"/>
        <w:tblW w:w="8279" w:type="dxa"/>
        <w:jc w:val="center"/>
        <w:tblInd w:w="0"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2895"/>
        <w:gridCol w:w="1113"/>
        <w:gridCol w:w="876"/>
        <w:gridCol w:w="1119"/>
        <w:gridCol w:w="1134"/>
        <w:gridCol w:w="1142"/>
      </w:tblGrid>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416" w:hRule="atLeast"/>
          <w:jc w:val="center"/>
        </w:trPr>
        <w:tc>
          <w:tcPr>
            <w:tcW w:w="2895" w:type="dxa"/>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hint="eastAsia" w:cs="Times New Roman"/>
                <w:b/>
                <w:bCs/>
                <w:color w:val="FFFFFF" w:themeColor="background1"/>
                <w:kern w:val="0"/>
                <w:sz w:val="21"/>
                <w:szCs w:val="21"/>
              </w:rPr>
              <w:t>专业</w:t>
            </w:r>
          </w:p>
        </w:tc>
        <w:tc>
          <w:tcPr>
            <w:tcW w:w="1113"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cs="Times New Roman"/>
                <w:b/>
                <w:bCs/>
                <w:color w:val="FFFFFF" w:themeColor="background1"/>
                <w:kern w:val="0"/>
                <w:sz w:val="21"/>
                <w:szCs w:val="21"/>
              </w:rPr>
              <w:t>类别</w:t>
            </w:r>
          </w:p>
        </w:tc>
        <w:tc>
          <w:tcPr>
            <w:tcW w:w="876"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cs="Times New Roman"/>
                <w:b/>
                <w:bCs/>
                <w:color w:val="FFFFFF" w:themeColor="background1"/>
                <w:kern w:val="0"/>
                <w:sz w:val="21"/>
                <w:szCs w:val="21"/>
              </w:rPr>
              <w:t>北京</w:t>
            </w:r>
          </w:p>
        </w:tc>
        <w:tc>
          <w:tcPr>
            <w:tcW w:w="1119"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cs="Times New Roman"/>
                <w:b/>
                <w:bCs/>
                <w:color w:val="FFFFFF" w:themeColor="background1"/>
                <w:kern w:val="0"/>
                <w:sz w:val="21"/>
                <w:szCs w:val="21"/>
              </w:rPr>
              <w:t>东部</w:t>
            </w:r>
            <w:r>
              <w:rPr>
                <w:rFonts w:hint="eastAsia"/>
                <w:b/>
                <w:bCs/>
                <w:color w:val="FFFFFF" w:themeColor="background1"/>
                <w:sz w:val="21"/>
              </w:rPr>
              <w:t>地区</w:t>
            </w:r>
          </w:p>
        </w:tc>
        <w:tc>
          <w:tcPr>
            <w:tcW w:w="1134"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cs="Times New Roman"/>
                <w:b/>
                <w:bCs/>
                <w:color w:val="FFFFFF" w:themeColor="background1"/>
                <w:kern w:val="0"/>
                <w:sz w:val="21"/>
                <w:szCs w:val="21"/>
              </w:rPr>
              <w:t>中部</w:t>
            </w:r>
            <w:r>
              <w:rPr>
                <w:rFonts w:hint="eastAsia"/>
                <w:b/>
                <w:bCs/>
                <w:color w:val="FFFFFF" w:themeColor="background1"/>
                <w:sz w:val="21"/>
              </w:rPr>
              <w:t>地区</w:t>
            </w:r>
          </w:p>
        </w:tc>
        <w:tc>
          <w:tcPr>
            <w:tcW w:w="1142" w:type="dxa"/>
            <w:tcBorders>
              <w:top w:val="single" w:color="4BACC6" w:themeColor="accent5" w:sz="4" w:space="0"/>
              <w:bottom w:val="single" w:color="4BACC6" w:themeColor="accent5" w:sz="4" w:space="0"/>
              <w:right w:val="single" w:color="4BACC6" w:themeColor="accent5" w:sz="4" w:space="0"/>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cs="Times New Roman"/>
                <w:b/>
                <w:bCs/>
                <w:color w:val="FFFFFF" w:themeColor="background1"/>
                <w:kern w:val="0"/>
                <w:sz w:val="21"/>
                <w:szCs w:val="21"/>
              </w:rPr>
              <w:t>西部</w:t>
            </w:r>
            <w:r>
              <w:rPr>
                <w:rFonts w:hint="eastAsia"/>
                <w:b/>
                <w:bCs/>
                <w:color w:val="FFFFFF" w:themeColor="background1"/>
                <w:sz w:val="21"/>
              </w:rPr>
              <w:t>地区</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895" w:type="dxa"/>
            <w:vMerge w:val="restart"/>
            <w:shd w:val="clear" w:color="auto" w:fill="DAEEF3" w:themeFill="accent5" w:themeFillTint="33"/>
            <w:vAlign w:val="center"/>
          </w:tcPr>
          <w:p>
            <w:pPr>
              <w:widowControl/>
              <w:jc w:val="left"/>
              <w:rPr>
                <w:rFonts w:cs="Times New Roman"/>
                <w:b/>
                <w:bCs/>
                <w:color w:val="000000"/>
                <w:kern w:val="0"/>
                <w:sz w:val="21"/>
                <w:szCs w:val="21"/>
              </w:rPr>
            </w:pPr>
            <w:r>
              <w:rPr>
                <w:rFonts w:hint="eastAsia" w:cs="Times New Roman"/>
                <w:b/>
                <w:bCs/>
                <w:color w:val="000000"/>
                <w:kern w:val="0"/>
                <w:sz w:val="21"/>
                <w:szCs w:val="21"/>
              </w:rPr>
              <w:t>表演</w:t>
            </w:r>
          </w:p>
        </w:tc>
        <w:tc>
          <w:tcPr>
            <w:tcW w:w="1113"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期望首选</w:t>
            </w:r>
          </w:p>
        </w:tc>
        <w:tc>
          <w:tcPr>
            <w:tcW w:w="876"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100.00</w:t>
            </w:r>
          </w:p>
        </w:tc>
        <w:tc>
          <w:tcPr>
            <w:tcW w:w="1119"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34"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42"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895" w:type="dxa"/>
            <w:vMerge w:val="continue"/>
            <w:vAlign w:val="center"/>
          </w:tcPr>
          <w:p>
            <w:pPr>
              <w:widowControl/>
              <w:jc w:val="left"/>
              <w:rPr>
                <w:rFonts w:cs="Times New Roman"/>
                <w:b/>
                <w:bCs/>
                <w:color w:val="000000"/>
                <w:kern w:val="0"/>
                <w:sz w:val="21"/>
                <w:szCs w:val="21"/>
              </w:rPr>
            </w:pPr>
          </w:p>
        </w:tc>
        <w:tc>
          <w:tcPr>
            <w:tcW w:w="1113" w:type="dxa"/>
            <w:vAlign w:val="center"/>
          </w:tcPr>
          <w:p>
            <w:pPr>
              <w:widowControl/>
              <w:jc w:val="center"/>
              <w:rPr>
                <w:rFonts w:cs="Times New Roman"/>
                <w:color w:val="000000"/>
                <w:kern w:val="0"/>
                <w:sz w:val="21"/>
                <w:szCs w:val="21"/>
              </w:rPr>
            </w:pPr>
            <w:r>
              <w:rPr>
                <w:rFonts w:hint="eastAsia" w:cs="Times New Roman"/>
                <w:color w:val="000000"/>
                <w:kern w:val="0"/>
                <w:sz w:val="21"/>
                <w:szCs w:val="21"/>
              </w:rPr>
              <w:t>最终落实</w:t>
            </w:r>
          </w:p>
        </w:tc>
        <w:tc>
          <w:tcPr>
            <w:tcW w:w="876"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87.50</w:t>
            </w:r>
          </w:p>
        </w:tc>
        <w:tc>
          <w:tcPr>
            <w:tcW w:w="1119"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12.50</w:t>
            </w:r>
          </w:p>
        </w:tc>
        <w:tc>
          <w:tcPr>
            <w:tcW w:w="1134"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42"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895" w:type="dxa"/>
            <w:vMerge w:val="restart"/>
            <w:shd w:val="clear" w:color="auto" w:fill="DAEEF3" w:themeFill="accent5" w:themeFillTint="33"/>
            <w:vAlign w:val="center"/>
          </w:tcPr>
          <w:p>
            <w:pPr>
              <w:widowControl/>
              <w:jc w:val="left"/>
              <w:rPr>
                <w:rFonts w:cs="Times New Roman"/>
                <w:b/>
                <w:bCs/>
                <w:color w:val="000000"/>
                <w:kern w:val="0"/>
                <w:sz w:val="21"/>
                <w:szCs w:val="21"/>
              </w:rPr>
            </w:pPr>
            <w:r>
              <w:rPr>
                <w:rFonts w:hint="eastAsia" w:cs="Times New Roman"/>
                <w:b/>
                <w:bCs/>
                <w:color w:val="000000"/>
                <w:kern w:val="0"/>
                <w:sz w:val="21"/>
                <w:szCs w:val="21"/>
              </w:rPr>
              <w:t>表演（戏剧影视表演）</w:t>
            </w:r>
          </w:p>
        </w:tc>
        <w:tc>
          <w:tcPr>
            <w:tcW w:w="1113" w:type="dxa"/>
            <w:shd w:val="clear" w:color="auto" w:fill="DAEEF3" w:themeFill="accent5" w:themeFillTint="33"/>
            <w:vAlign w:val="center"/>
          </w:tcPr>
          <w:p>
            <w:pPr>
              <w:widowControl/>
              <w:jc w:val="center"/>
              <w:rPr>
                <w:rFonts w:cs="Times New Roman"/>
                <w:color w:val="000000"/>
                <w:kern w:val="0"/>
                <w:sz w:val="21"/>
                <w:szCs w:val="21"/>
              </w:rPr>
            </w:pPr>
            <w:r>
              <w:rPr>
                <w:rFonts w:hint="eastAsia" w:cs="Times New Roman"/>
                <w:color w:val="000000"/>
                <w:kern w:val="0"/>
                <w:sz w:val="21"/>
                <w:szCs w:val="21"/>
              </w:rPr>
              <w:t>期望首选</w:t>
            </w:r>
          </w:p>
        </w:tc>
        <w:tc>
          <w:tcPr>
            <w:tcW w:w="876"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100.00</w:t>
            </w:r>
          </w:p>
        </w:tc>
        <w:tc>
          <w:tcPr>
            <w:tcW w:w="1119"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34"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42"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895" w:type="dxa"/>
            <w:vMerge w:val="continue"/>
            <w:vAlign w:val="center"/>
          </w:tcPr>
          <w:p>
            <w:pPr>
              <w:widowControl/>
              <w:jc w:val="left"/>
              <w:rPr>
                <w:rFonts w:cs="Times New Roman"/>
                <w:b/>
                <w:bCs/>
                <w:color w:val="000000"/>
                <w:kern w:val="0"/>
                <w:sz w:val="21"/>
                <w:szCs w:val="21"/>
              </w:rPr>
            </w:pPr>
          </w:p>
        </w:tc>
        <w:tc>
          <w:tcPr>
            <w:tcW w:w="1113" w:type="dxa"/>
            <w:vAlign w:val="center"/>
          </w:tcPr>
          <w:p>
            <w:pPr>
              <w:widowControl/>
              <w:jc w:val="center"/>
              <w:rPr>
                <w:rFonts w:cs="Times New Roman"/>
                <w:color w:val="000000"/>
                <w:kern w:val="0"/>
                <w:sz w:val="21"/>
                <w:szCs w:val="21"/>
              </w:rPr>
            </w:pPr>
            <w:r>
              <w:rPr>
                <w:rFonts w:hint="eastAsia" w:cs="Times New Roman"/>
                <w:color w:val="000000"/>
                <w:kern w:val="0"/>
                <w:sz w:val="21"/>
                <w:szCs w:val="21"/>
              </w:rPr>
              <w:t>最终落实</w:t>
            </w:r>
          </w:p>
        </w:tc>
        <w:tc>
          <w:tcPr>
            <w:tcW w:w="876"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96.77</w:t>
            </w:r>
          </w:p>
        </w:tc>
        <w:tc>
          <w:tcPr>
            <w:tcW w:w="1119"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3.23</w:t>
            </w:r>
          </w:p>
        </w:tc>
        <w:tc>
          <w:tcPr>
            <w:tcW w:w="1134"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42"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895" w:type="dxa"/>
            <w:vMerge w:val="restart"/>
            <w:shd w:val="clear" w:color="auto" w:fill="DAEEF3" w:themeFill="accent5" w:themeFillTint="33"/>
            <w:vAlign w:val="center"/>
          </w:tcPr>
          <w:p>
            <w:pPr>
              <w:widowControl/>
              <w:jc w:val="left"/>
              <w:rPr>
                <w:rFonts w:cs="Times New Roman"/>
                <w:b/>
                <w:bCs/>
                <w:color w:val="000000"/>
                <w:kern w:val="0"/>
                <w:sz w:val="21"/>
                <w:szCs w:val="21"/>
              </w:rPr>
            </w:pPr>
            <w:r>
              <w:rPr>
                <w:rFonts w:hint="eastAsia" w:cs="Times New Roman"/>
                <w:b/>
                <w:bCs/>
                <w:color w:val="000000"/>
                <w:kern w:val="0"/>
                <w:sz w:val="21"/>
                <w:szCs w:val="21"/>
              </w:rPr>
              <w:t>表演（音乐剧）</w:t>
            </w:r>
          </w:p>
        </w:tc>
        <w:tc>
          <w:tcPr>
            <w:tcW w:w="1113" w:type="dxa"/>
            <w:shd w:val="clear" w:color="auto" w:fill="DAEEF3" w:themeFill="accent5" w:themeFillTint="33"/>
            <w:vAlign w:val="center"/>
          </w:tcPr>
          <w:p>
            <w:pPr>
              <w:widowControl/>
              <w:jc w:val="center"/>
              <w:rPr>
                <w:rFonts w:cs="Times New Roman"/>
                <w:color w:val="000000"/>
                <w:kern w:val="0"/>
                <w:sz w:val="21"/>
                <w:szCs w:val="21"/>
              </w:rPr>
            </w:pPr>
            <w:r>
              <w:rPr>
                <w:rFonts w:hint="eastAsia" w:cs="Times New Roman"/>
                <w:color w:val="000000"/>
                <w:kern w:val="0"/>
                <w:sz w:val="21"/>
                <w:szCs w:val="21"/>
              </w:rPr>
              <w:t>期望首选</w:t>
            </w:r>
          </w:p>
        </w:tc>
        <w:tc>
          <w:tcPr>
            <w:tcW w:w="876"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100.00</w:t>
            </w:r>
          </w:p>
        </w:tc>
        <w:tc>
          <w:tcPr>
            <w:tcW w:w="1119"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34"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42"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895" w:type="dxa"/>
            <w:vMerge w:val="continue"/>
            <w:vAlign w:val="center"/>
          </w:tcPr>
          <w:p>
            <w:pPr>
              <w:widowControl/>
              <w:jc w:val="left"/>
              <w:rPr>
                <w:rFonts w:cs="Times New Roman"/>
                <w:b/>
                <w:bCs/>
                <w:color w:val="000000"/>
                <w:kern w:val="0"/>
                <w:sz w:val="21"/>
                <w:szCs w:val="21"/>
              </w:rPr>
            </w:pPr>
          </w:p>
        </w:tc>
        <w:tc>
          <w:tcPr>
            <w:tcW w:w="1113" w:type="dxa"/>
            <w:vAlign w:val="center"/>
          </w:tcPr>
          <w:p>
            <w:pPr>
              <w:widowControl/>
              <w:jc w:val="center"/>
              <w:rPr>
                <w:rFonts w:cs="Times New Roman"/>
                <w:color w:val="000000"/>
                <w:kern w:val="0"/>
                <w:sz w:val="21"/>
                <w:szCs w:val="21"/>
              </w:rPr>
            </w:pPr>
            <w:r>
              <w:rPr>
                <w:rFonts w:hint="eastAsia" w:cs="Times New Roman"/>
                <w:color w:val="000000"/>
                <w:kern w:val="0"/>
                <w:sz w:val="21"/>
                <w:szCs w:val="21"/>
              </w:rPr>
              <w:t>最终落实</w:t>
            </w:r>
          </w:p>
        </w:tc>
        <w:tc>
          <w:tcPr>
            <w:tcW w:w="876"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94.74</w:t>
            </w:r>
          </w:p>
        </w:tc>
        <w:tc>
          <w:tcPr>
            <w:tcW w:w="1119"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5.26</w:t>
            </w:r>
          </w:p>
        </w:tc>
        <w:tc>
          <w:tcPr>
            <w:tcW w:w="1134"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42"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895" w:type="dxa"/>
            <w:vMerge w:val="restart"/>
            <w:shd w:val="clear" w:color="auto" w:fill="DAEEF3" w:themeFill="accent5" w:themeFillTint="33"/>
            <w:vAlign w:val="center"/>
          </w:tcPr>
          <w:p>
            <w:pPr>
              <w:widowControl/>
              <w:jc w:val="left"/>
              <w:rPr>
                <w:rFonts w:cs="Times New Roman"/>
                <w:b/>
                <w:bCs/>
                <w:color w:val="000000"/>
                <w:kern w:val="0"/>
                <w:sz w:val="21"/>
                <w:szCs w:val="21"/>
              </w:rPr>
            </w:pPr>
            <w:r>
              <w:rPr>
                <w:rFonts w:hint="eastAsia" w:cs="Times New Roman"/>
                <w:b/>
                <w:bCs/>
                <w:color w:val="000000"/>
                <w:kern w:val="0"/>
                <w:sz w:val="21"/>
                <w:szCs w:val="21"/>
              </w:rPr>
              <w:t>导演（演出制作）</w:t>
            </w:r>
          </w:p>
        </w:tc>
        <w:tc>
          <w:tcPr>
            <w:tcW w:w="1113" w:type="dxa"/>
            <w:shd w:val="clear" w:color="auto" w:fill="DAEEF3" w:themeFill="accent5" w:themeFillTint="33"/>
            <w:vAlign w:val="center"/>
          </w:tcPr>
          <w:p>
            <w:pPr>
              <w:widowControl/>
              <w:jc w:val="center"/>
              <w:rPr>
                <w:rFonts w:cs="Times New Roman"/>
                <w:color w:val="000000"/>
                <w:kern w:val="0"/>
                <w:sz w:val="21"/>
                <w:szCs w:val="21"/>
              </w:rPr>
            </w:pPr>
            <w:r>
              <w:rPr>
                <w:rFonts w:hint="eastAsia" w:cs="Times New Roman"/>
                <w:color w:val="000000"/>
                <w:kern w:val="0"/>
                <w:sz w:val="21"/>
                <w:szCs w:val="21"/>
              </w:rPr>
              <w:t>期望首选</w:t>
            </w:r>
          </w:p>
        </w:tc>
        <w:tc>
          <w:tcPr>
            <w:tcW w:w="876"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100.00</w:t>
            </w:r>
          </w:p>
        </w:tc>
        <w:tc>
          <w:tcPr>
            <w:tcW w:w="1119"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34"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42"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895" w:type="dxa"/>
            <w:vMerge w:val="continue"/>
            <w:vAlign w:val="center"/>
          </w:tcPr>
          <w:p>
            <w:pPr>
              <w:widowControl/>
              <w:jc w:val="left"/>
              <w:rPr>
                <w:rFonts w:cs="Times New Roman"/>
                <w:b/>
                <w:bCs/>
                <w:color w:val="000000"/>
                <w:kern w:val="0"/>
                <w:sz w:val="21"/>
                <w:szCs w:val="21"/>
              </w:rPr>
            </w:pPr>
          </w:p>
        </w:tc>
        <w:tc>
          <w:tcPr>
            <w:tcW w:w="1113" w:type="dxa"/>
            <w:vAlign w:val="center"/>
          </w:tcPr>
          <w:p>
            <w:pPr>
              <w:widowControl/>
              <w:jc w:val="center"/>
              <w:rPr>
                <w:rFonts w:cs="Times New Roman"/>
                <w:color w:val="000000"/>
                <w:kern w:val="0"/>
                <w:sz w:val="21"/>
                <w:szCs w:val="21"/>
              </w:rPr>
            </w:pPr>
            <w:r>
              <w:rPr>
                <w:rFonts w:hint="eastAsia" w:cs="Times New Roman"/>
                <w:color w:val="000000"/>
                <w:kern w:val="0"/>
                <w:sz w:val="21"/>
                <w:szCs w:val="21"/>
              </w:rPr>
              <w:t>最终落实</w:t>
            </w:r>
          </w:p>
        </w:tc>
        <w:tc>
          <w:tcPr>
            <w:tcW w:w="876"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100.00</w:t>
            </w:r>
          </w:p>
        </w:tc>
        <w:tc>
          <w:tcPr>
            <w:tcW w:w="1119"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34"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42"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895" w:type="dxa"/>
            <w:vMerge w:val="restart"/>
            <w:shd w:val="clear" w:color="auto" w:fill="DAEEF3" w:themeFill="accent5" w:themeFillTint="33"/>
            <w:vAlign w:val="center"/>
          </w:tcPr>
          <w:p>
            <w:pPr>
              <w:widowControl/>
              <w:jc w:val="left"/>
              <w:rPr>
                <w:rFonts w:cs="Times New Roman"/>
                <w:b/>
                <w:bCs/>
                <w:color w:val="000000"/>
                <w:kern w:val="0"/>
                <w:sz w:val="21"/>
                <w:szCs w:val="21"/>
              </w:rPr>
            </w:pPr>
            <w:r>
              <w:rPr>
                <w:rFonts w:hint="eastAsia" w:cs="Times New Roman"/>
                <w:b/>
                <w:bCs/>
                <w:color w:val="000000"/>
                <w:kern w:val="0"/>
                <w:sz w:val="21"/>
                <w:szCs w:val="21"/>
              </w:rPr>
              <w:t>导演（影视编导）</w:t>
            </w:r>
          </w:p>
        </w:tc>
        <w:tc>
          <w:tcPr>
            <w:tcW w:w="1113" w:type="dxa"/>
            <w:shd w:val="clear" w:color="auto" w:fill="DAEEF3" w:themeFill="accent5" w:themeFillTint="33"/>
            <w:vAlign w:val="center"/>
          </w:tcPr>
          <w:p>
            <w:pPr>
              <w:widowControl/>
              <w:jc w:val="center"/>
              <w:rPr>
                <w:rFonts w:cs="Times New Roman"/>
                <w:color w:val="000000"/>
                <w:kern w:val="0"/>
                <w:sz w:val="21"/>
                <w:szCs w:val="21"/>
              </w:rPr>
            </w:pPr>
            <w:r>
              <w:rPr>
                <w:rFonts w:hint="eastAsia" w:cs="Times New Roman"/>
                <w:color w:val="000000"/>
                <w:kern w:val="0"/>
                <w:sz w:val="21"/>
                <w:szCs w:val="21"/>
              </w:rPr>
              <w:t>期望首选</w:t>
            </w:r>
          </w:p>
        </w:tc>
        <w:tc>
          <w:tcPr>
            <w:tcW w:w="876"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100.00</w:t>
            </w:r>
          </w:p>
        </w:tc>
        <w:tc>
          <w:tcPr>
            <w:tcW w:w="1119"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34"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42"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895" w:type="dxa"/>
            <w:vMerge w:val="continue"/>
            <w:vAlign w:val="center"/>
          </w:tcPr>
          <w:p>
            <w:pPr>
              <w:widowControl/>
              <w:jc w:val="left"/>
              <w:rPr>
                <w:rFonts w:cs="Times New Roman"/>
                <w:b/>
                <w:bCs/>
                <w:color w:val="000000"/>
                <w:kern w:val="0"/>
                <w:sz w:val="21"/>
                <w:szCs w:val="21"/>
              </w:rPr>
            </w:pPr>
          </w:p>
        </w:tc>
        <w:tc>
          <w:tcPr>
            <w:tcW w:w="1113" w:type="dxa"/>
            <w:vAlign w:val="center"/>
          </w:tcPr>
          <w:p>
            <w:pPr>
              <w:widowControl/>
              <w:jc w:val="center"/>
              <w:rPr>
                <w:rFonts w:cs="Times New Roman"/>
                <w:color w:val="000000"/>
                <w:kern w:val="0"/>
                <w:sz w:val="21"/>
                <w:szCs w:val="21"/>
              </w:rPr>
            </w:pPr>
            <w:r>
              <w:rPr>
                <w:rFonts w:hint="eastAsia" w:cs="Times New Roman"/>
                <w:color w:val="000000"/>
                <w:kern w:val="0"/>
                <w:sz w:val="21"/>
                <w:szCs w:val="21"/>
              </w:rPr>
              <w:t>最终落实</w:t>
            </w:r>
          </w:p>
        </w:tc>
        <w:tc>
          <w:tcPr>
            <w:tcW w:w="876"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100.00</w:t>
            </w:r>
          </w:p>
        </w:tc>
        <w:tc>
          <w:tcPr>
            <w:tcW w:w="1119"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34"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42"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895" w:type="dxa"/>
            <w:vMerge w:val="restart"/>
            <w:shd w:val="clear" w:color="auto" w:fill="DAEEF3" w:themeFill="accent5" w:themeFillTint="33"/>
            <w:vAlign w:val="center"/>
          </w:tcPr>
          <w:p>
            <w:pPr>
              <w:widowControl/>
              <w:jc w:val="left"/>
              <w:rPr>
                <w:rFonts w:cs="Times New Roman"/>
                <w:b/>
                <w:bCs/>
                <w:color w:val="000000"/>
                <w:kern w:val="0"/>
                <w:sz w:val="21"/>
                <w:szCs w:val="21"/>
              </w:rPr>
            </w:pPr>
            <w:r>
              <w:rPr>
                <w:rFonts w:hint="eastAsia" w:cs="Times New Roman"/>
                <w:b/>
                <w:bCs/>
                <w:color w:val="000000"/>
                <w:kern w:val="0"/>
                <w:sz w:val="21"/>
                <w:szCs w:val="21"/>
              </w:rPr>
              <w:t>戏剧学(戏剧史论与批评)</w:t>
            </w:r>
          </w:p>
        </w:tc>
        <w:tc>
          <w:tcPr>
            <w:tcW w:w="1113" w:type="dxa"/>
            <w:shd w:val="clear" w:color="auto" w:fill="DAEEF3" w:themeFill="accent5" w:themeFillTint="33"/>
            <w:vAlign w:val="center"/>
          </w:tcPr>
          <w:p>
            <w:pPr>
              <w:widowControl/>
              <w:jc w:val="center"/>
              <w:rPr>
                <w:rFonts w:cs="Times New Roman"/>
                <w:color w:val="000000"/>
                <w:kern w:val="0"/>
                <w:sz w:val="21"/>
                <w:szCs w:val="21"/>
              </w:rPr>
            </w:pPr>
            <w:r>
              <w:rPr>
                <w:rFonts w:hint="eastAsia" w:cs="Times New Roman"/>
                <w:color w:val="000000"/>
                <w:kern w:val="0"/>
                <w:sz w:val="21"/>
                <w:szCs w:val="21"/>
              </w:rPr>
              <w:t>期望首选</w:t>
            </w:r>
          </w:p>
        </w:tc>
        <w:tc>
          <w:tcPr>
            <w:tcW w:w="876"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100.00</w:t>
            </w:r>
          </w:p>
        </w:tc>
        <w:tc>
          <w:tcPr>
            <w:tcW w:w="1119"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34"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42"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895" w:type="dxa"/>
            <w:vMerge w:val="continue"/>
            <w:vAlign w:val="center"/>
          </w:tcPr>
          <w:p>
            <w:pPr>
              <w:widowControl/>
              <w:jc w:val="left"/>
              <w:rPr>
                <w:rFonts w:cs="Times New Roman"/>
                <w:b/>
                <w:bCs/>
                <w:color w:val="000000"/>
                <w:kern w:val="0"/>
                <w:sz w:val="21"/>
                <w:szCs w:val="21"/>
              </w:rPr>
            </w:pPr>
          </w:p>
        </w:tc>
        <w:tc>
          <w:tcPr>
            <w:tcW w:w="1113" w:type="dxa"/>
            <w:vAlign w:val="center"/>
          </w:tcPr>
          <w:p>
            <w:pPr>
              <w:widowControl/>
              <w:jc w:val="center"/>
              <w:rPr>
                <w:rFonts w:cs="Times New Roman"/>
                <w:color w:val="000000"/>
                <w:kern w:val="0"/>
                <w:sz w:val="21"/>
                <w:szCs w:val="21"/>
              </w:rPr>
            </w:pPr>
            <w:r>
              <w:rPr>
                <w:rFonts w:hint="eastAsia" w:cs="Times New Roman"/>
                <w:color w:val="000000"/>
                <w:kern w:val="0"/>
                <w:sz w:val="21"/>
                <w:szCs w:val="21"/>
              </w:rPr>
              <w:t>最终落实</w:t>
            </w:r>
          </w:p>
        </w:tc>
        <w:tc>
          <w:tcPr>
            <w:tcW w:w="876"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100.00</w:t>
            </w:r>
          </w:p>
        </w:tc>
        <w:tc>
          <w:tcPr>
            <w:tcW w:w="1119"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34"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42"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895" w:type="dxa"/>
            <w:vMerge w:val="restart"/>
            <w:shd w:val="clear" w:color="auto" w:fill="DAEEF3" w:themeFill="accent5" w:themeFillTint="33"/>
            <w:vAlign w:val="center"/>
          </w:tcPr>
          <w:p>
            <w:pPr>
              <w:widowControl/>
              <w:jc w:val="left"/>
              <w:rPr>
                <w:rFonts w:cs="Times New Roman"/>
                <w:b/>
                <w:bCs/>
                <w:color w:val="000000"/>
                <w:kern w:val="0"/>
                <w:sz w:val="21"/>
                <w:szCs w:val="21"/>
              </w:rPr>
            </w:pPr>
            <w:r>
              <w:rPr>
                <w:rFonts w:hint="eastAsia" w:cs="Times New Roman"/>
                <w:b/>
                <w:bCs/>
                <w:color w:val="000000"/>
                <w:kern w:val="0"/>
                <w:sz w:val="21"/>
                <w:szCs w:val="21"/>
              </w:rPr>
              <w:t>戏剧影视导演</w:t>
            </w:r>
          </w:p>
        </w:tc>
        <w:tc>
          <w:tcPr>
            <w:tcW w:w="1113" w:type="dxa"/>
            <w:shd w:val="clear" w:color="auto" w:fill="DAEEF3" w:themeFill="accent5" w:themeFillTint="33"/>
            <w:vAlign w:val="center"/>
          </w:tcPr>
          <w:p>
            <w:pPr>
              <w:widowControl/>
              <w:jc w:val="center"/>
              <w:rPr>
                <w:rFonts w:cs="Times New Roman"/>
                <w:color w:val="000000"/>
                <w:kern w:val="0"/>
                <w:sz w:val="21"/>
                <w:szCs w:val="21"/>
              </w:rPr>
            </w:pPr>
            <w:r>
              <w:rPr>
                <w:rFonts w:hint="eastAsia" w:cs="Times New Roman"/>
                <w:color w:val="000000"/>
                <w:kern w:val="0"/>
                <w:sz w:val="21"/>
                <w:szCs w:val="21"/>
              </w:rPr>
              <w:t>期望首选</w:t>
            </w:r>
          </w:p>
        </w:tc>
        <w:tc>
          <w:tcPr>
            <w:tcW w:w="876"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91.89</w:t>
            </w:r>
          </w:p>
        </w:tc>
        <w:tc>
          <w:tcPr>
            <w:tcW w:w="1119"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8.11</w:t>
            </w:r>
          </w:p>
        </w:tc>
        <w:tc>
          <w:tcPr>
            <w:tcW w:w="1134"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42"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895" w:type="dxa"/>
            <w:vMerge w:val="continue"/>
            <w:vAlign w:val="center"/>
          </w:tcPr>
          <w:p>
            <w:pPr>
              <w:widowControl/>
              <w:jc w:val="left"/>
              <w:rPr>
                <w:rFonts w:cs="Times New Roman"/>
                <w:b/>
                <w:bCs/>
                <w:color w:val="000000"/>
                <w:kern w:val="0"/>
                <w:sz w:val="21"/>
                <w:szCs w:val="21"/>
              </w:rPr>
            </w:pPr>
          </w:p>
        </w:tc>
        <w:tc>
          <w:tcPr>
            <w:tcW w:w="1113" w:type="dxa"/>
            <w:vAlign w:val="center"/>
          </w:tcPr>
          <w:p>
            <w:pPr>
              <w:widowControl/>
              <w:jc w:val="center"/>
              <w:rPr>
                <w:rFonts w:cs="Times New Roman"/>
                <w:color w:val="000000"/>
                <w:kern w:val="0"/>
                <w:sz w:val="21"/>
                <w:szCs w:val="21"/>
              </w:rPr>
            </w:pPr>
            <w:r>
              <w:rPr>
                <w:rFonts w:hint="eastAsia" w:cs="Times New Roman"/>
                <w:color w:val="000000"/>
                <w:kern w:val="0"/>
                <w:sz w:val="21"/>
                <w:szCs w:val="21"/>
              </w:rPr>
              <w:t>最终落实</w:t>
            </w:r>
          </w:p>
        </w:tc>
        <w:tc>
          <w:tcPr>
            <w:tcW w:w="876"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89.19</w:t>
            </w:r>
          </w:p>
        </w:tc>
        <w:tc>
          <w:tcPr>
            <w:tcW w:w="1119"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10.81</w:t>
            </w:r>
          </w:p>
        </w:tc>
        <w:tc>
          <w:tcPr>
            <w:tcW w:w="1134"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42"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895" w:type="dxa"/>
            <w:vMerge w:val="restart"/>
            <w:shd w:val="clear" w:color="auto" w:fill="DAEEF3" w:themeFill="accent5" w:themeFillTint="33"/>
            <w:vAlign w:val="center"/>
          </w:tcPr>
          <w:p>
            <w:pPr>
              <w:widowControl/>
              <w:jc w:val="left"/>
              <w:rPr>
                <w:rFonts w:cs="Times New Roman"/>
                <w:b/>
                <w:bCs/>
                <w:color w:val="000000"/>
                <w:kern w:val="0"/>
                <w:sz w:val="21"/>
                <w:szCs w:val="21"/>
              </w:rPr>
            </w:pPr>
            <w:r>
              <w:rPr>
                <w:rFonts w:hint="eastAsia" w:cs="Times New Roman"/>
                <w:b/>
                <w:bCs/>
                <w:color w:val="000000"/>
                <w:kern w:val="0"/>
                <w:sz w:val="21"/>
                <w:szCs w:val="21"/>
              </w:rPr>
              <w:t>戏剧影视美术设计(舞台灯光)</w:t>
            </w:r>
          </w:p>
        </w:tc>
        <w:tc>
          <w:tcPr>
            <w:tcW w:w="1113" w:type="dxa"/>
            <w:shd w:val="clear" w:color="auto" w:fill="DAEEF3" w:themeFill="accent5" w:themeFillTint="33"/>
            <w:vAlign w:val="center"/>
          </w:tcPr>
          <w:p>
            <w:pPr>
              <w:widowControl/>
              <w:jc w:val="center"/>
              <w:rPr>
                <w:rFonts w:cs="Times New Roman"/>
                <w:color w:val="000000"/>
                <w:kern w:val="0"/>
                <w:sz w:val="21"/>
                <w:szCs w:val="21"/>
              </w:rPr>
            </w:pPr>
            <w:r>
              <w:rPr>
                <w:rFonts w:hint="eastAsia" w:cs="Times New Roman"/>
                <w:color w:val="000000"/>
                <w:kern w:val="0"/>
                <w:sz w:val="21"/>
                <w:szCs w:val="21"/>
              </w:rPr>
              <w:t>期望首选</w:t>
            </w:r>
          </w:p>
        </w:tc>
        <w:tc>
          <w:tcPr>
            <w:tcW w:w="876"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100.00</w:t>
            </w:r>
          </w:p>
        </w:tc>
        <w:tc>
          <w:tcPr>
            <w:tcW w:w="1119"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34"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42"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895" w:type="dxa"/>
            <w:vMerge w:val="continue"/>
            <w:vAlign w:val="center"/>
          </w:tcPr>
          <w:p>
            <w:pPr>
              <w:widowControl/>
              <w:jc w:val="left"/>
              <w:rPr>
                <w:rFonts w:cs="Times New Roman"/>
                <w:b/>
                <w:bCs/>
                <w:color w:val="000000"/>
                <w:kern w:val="0"/>
                <w:sz w:val="21"/>
                <w:szCs w:val="21"/>
              </w:rPr>
            </w:pPr>
          </w:p>
        </w:tc>
        <w:tc>
          <w:tcPr>
            <w:tcW w:w="1113" w:type="dxa"/>
            <w:vAlign w:val="center"/>
          </w:tcPr>
          <w:p>
            <w:pPr>
              <w:widowControl/>
              <w:jc w:val="center"/>
              <w:rPr>
                <w:rFonts w:cs="Times New Roman"/>
                <w:color w:val="000000"/>
                <w:kern w:val="0"/>
                <w:sz w:val="21"/>
                <w:szCs w:val="21"/>
              </w:rPr>
            </w:pPr>
            <w:r>
              <w:rPr>
                <w:rFonts w:hint="eastAsia" w:cs="Times New Roman"/>
                <w:color w:val="000000"/>
                <w:kern w:val="0"/>
                <w:sz w:val="21"/>
                <w:szCs w:val="21"/>
              </w:rPr>
              <w:t>最终落实</w:t>
            </w:r>
          </w:p>
        </w:tc>
        <w:tc>
          <w:tcPr>
            <w:tcW w:w="876"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87.50</w:t>
            </w:r>
          </w:p>
        </w:tc>
        <w:tc>
          <w:tcPr>
            <w:tcW w:w="1119"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12.50</w:t>
            </w:r>
          </w:p>
        </w:tc>
        <w:tc>
          <w:tcPr>
            <w:tcW w:w="1134"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42"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895" w:type="dxa"/>
            <w:vMerge w:val="restart"/>
            <w:shd w:val="clear" w:color="auto" w:fill="DAEEF3" w:themeFill="accent5" w:themeFillTint="33"/>
            <w:vAlign w:val="center"/>
          </w:tcPr>
          <w:p>
            <w:pPr>
              <w:widowControl/>
              <w:jc w:val="left"/>
              <w:rPr>
                <w:rFonts w:cs="Times New Roman"/>
                <w:b/>
                <w:bCs/>
                <w:color w:val="000000"/>
                <w:kern w:val="0"/>
                <w:sz w:val="21"/>
                <w:szCs w:val="21"/>
              </w:rPr>
            </w:pPr>
            <w:r>
              <w:rPr>
                <w:rFonts w:hint="eastAsia" w:cs="Times New Roman"/>
                <w:b/>
                <w:bCs/>
                <w:color w:val="000000"/>
                <w:kern w:val="0"/>
                <w:sz w:val="21"/>
                <w:szCs w:val="21"/>
              </w:rPr>
              <w:t>戏剧影视美术设计(舞台服装)</w:t>
            </w:r>
          </w:p>
        </w:tc>
        <w:tc>
          <w:tcPr>
            <w:tcW w:w="1113" w:type="dxa"/>
            <w:shd w:val="clear" w:color="auto" w:fill="DAEEF3" w:themeFill="accent5" w:themeFillTint="33"/>
            <w:vAlign w:val="center"/>
          </w:tcPr>
          <w:p>
            <w:pPr>
              <w:widowControl/>
              <w:jc w:val="center"/>
              <w:rPr>
                <w:rFonts w:cs="Times New Roman"/>
                <w:color w:val="000000"/>
                <w:kern w:val="0"/>
                <w:sz w:val="21"/>
                <w:szCs w:val="21"/>
              </w:rPr>
            </w:pPr>
            <w:r>
              <w:rPr>
                <w:rFonts w:hint="eastAsia" w:cs="Times New Roman"/>
                <w:color w:val="000000"/>
                <w:kern w:val="0"/>
                <w:sz w:val="21"/>
                <w:szCs w:val="21"/>
              </w:rPr>
              <w:t>期望首选</w:t>
            </w:r>
          </w:p>
        </w:tc>
        <w:tc>
          <w:tcPr>
            <w:tcW w:w="876"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100.00</w:t>
            </w:r>
          </w:p>
        </w:tc>
        <w:tc>
          <w:tcPr>
            <w:tcW w:w="1119"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34"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42"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895" w:type="dxa"/>
            <w:vMerge w:val="continue"/>
            <w:vAlign w:val="center"/>
          </w:tcPr>
          <w:p>
            <w:pPr>
              <w:widowControl/>
              <w:jc w:val="left"/>
              <w:rPr>
                <w:rFonts w:cs="Times New Roman"/>
                <w:b/>
                <w:bCs/>
                <w:color w:val="000000"/>
                <w:kern w:val="0"/>
                <w:sz w:val="21"/>
                <w:szCs w:val="21"/>
              </w:rPr>
            </w:pPr>
          </w:p>
        </w:tc>
        <w:tc>
          <w:tcPr>
            <w:tcW w:w="1113" w:type="dxa"/>
            <w:vAlign w:val="center"/>
          </w:tcPr>
          <w:p>
            <w:pPr>
              <w:widowControl/>
              <w:jc w:val="center"/>
              <w:rPr>
                <w:rFonts w:cs="Times New Roman"/>
                <w:color w:val="000000"/>
                <w:kern w:val="0"/>
                <w:sz w:val="21"/>
                <w:szCs w:val="21"/>
              </w:rPr>
            </w:pPr>
            <w:r>
              <w:rPr>
                <w:rFonts w:hint="eastAsia" w:cs="Times New Roman"/>
                <w:color w:val="000000"/>
                <w:kern w:val="0"/>
                <w:sz w:val="21"/>
                <w:szCs w:val="21"/>
              </w:rPr>
              <w:t>最终落实</w:t>
            </w:r>
          </w:p>
        </w:tc>
        <w:tc>
          <w:tcPr>
            <w:tcW w:w="876"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100.00</w:t>
            </w:r>
          </w:p>
        </w:tc>
        <w:tc>
          <w:tcPr>
            <w:tcW w:w="1119"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34"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42"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895" w:type="dxa"/>
            <w:vMerge w:val="restart"/>
            <w:shd w:val="clear" w:color="auto" w:fill="DAEEF3" w:themeFill="accent5" w:themeFillTint="33"/>
            <w:vAlign w:val="center"/>
          </w:tcPr>
          <w:p>
            <w:pPr>
              <w:widowControl/>
              <w:jc w:val="left"/>
              <w:rPr>
                <w:rFonts w:cs="Times New Roman"/>
                <w:b/>
                <w:bCs/>
                <w:color w:val="000000"/>
                <w:kern w:val="0"/>
                <w:sz w:val="21"/>
                <w:szCs w:val="21"/>
              </w:rPr>
            </w:pPr>
            <w:r>
              <w:rPr>
                <w:rFonts w:hint="eastAsia" w:cs="Times New Roman"/>
                <w:b/>
                <w:bCs/>
                <w:color w:val="000000"/>
                <w:kern w:val="0"/>
                <w:sz w:val="21"/>
                <w:szCs w:val="21"/>
              </w:rPr>
              <w:t>戏剧影视美术设计(舞台化装)</w:t>
            </w:r>
          </w:p>
        </w:tc>
        <w:tc>
          <w:tcPr>
            <w:tcW w:w="1113" w:type="dxa"/>
            <w:shd w:val="clear" w:color="auto" w:fill="DAEEF3" w:themeFill="accent5" w:themeFillTint="33"/>
            <w:vAlign w:val="center"/>
          </w:tcPr>
          <w:p>
            <w:pPr>
              <w:widowControl/>
              <w:jc w:val="center"/>
              <w:rPr>
                <w:rFonts w:cs="Times New Roman"/>
                <w:color w:val="000000"/>
                <w:kern w:val="0"/>
                <w:sz w:val="21"/>
                <w:szCs w:val="21"/>
              </w:rPr>
            </w:pPr>
            <w:r>
              <w:rPr>
                <w:rFonts w:hint="eastAsia" w:cs="Times New Roman"/>
                <w:color w:val="000000"/>
                <w:kern w:val="0"/>
                <w:sz w:val="21"/>
                <w:szCs w:val="21"/>
              </w:rPr>
              <w:t>期望首选</w:t>
            </w:r>
          </w:p>
        </w:tc>
        <w:tc>
          <w:tcPr>
            <w:tcW w:w="876"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100.00</w:t>
            </w:r>
          </w:p>
        </w:tc>
        <w:tc>
          <w:tcPr>
            <w:tcW w:w="1119"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34"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42"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895" w:type="dxa"/>
            <w:vMerge w:val="continue"/>
            <w:vAlign w:val="center"/>
          </w:tcPr>
          <w:p>
            <w:pPr>
              <w:widowControl/>
              <w:jc w:val="left"/>
              <w:rPr>
                <w:rFonts w:cs="Times New Roman"/>
                <w:b/>
                <w:bCs/>
                <w:color w:val="000000"/>
                <w:kern w:val="0"/>
                <w:sz w:val="21"/>
                <w:szCs w:val="21"/>
              </w:rPr>
            </w:pPr>
          </w:p>
        </w:tc>
        <w:tc>
          <w:tcPr>
            <w:tcW w:w="1113" w:type="dxa"/>
            <w:vAlign w:val="center"/>
          </w:tcPr>
          <w:p>
            <w:pPr>
              <w:widowControl/>
              <w:jc w:val="center"/>
              <w:rPr>
                <w:rFonts w:cs="Times New Roman"/>
                <w:color w:val="000000"/>
                <w:kern w:val="0"/>
                <w:sz w:val="21"/>
                <w:szCs w:val="21"/>
              </w:rPr>
            </w:pPr>
            <w:r>
              <w:rPr>
                <w:rFonts w:hint="eastAsia" w:cs="Times New Roman"/>
                <w:color w:val="000000"/>
                <w:kern w:val="0"/>
                <w:sz w:val="21"/>
                <w:szCs w:val="21"/>
              </w:rPr>
              <w:t>最终落实</w:t>
            </w:r>
          </w:p>
        </w:tc>
        <w:tc>
          <w:tcPr>
            <w:tcW w:w="876"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87.50</w:t>
            </w:r>
          </w:p>
        </w:tc>
        <w:tc>
          <w:tcPr>
            <w:tcW w:w="1119"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12.50</w:t>
            </w:r>
          </w:p>
        </w:tc>
        <w:tc>
          <w:tcPr>
            <w:tcW w:w="1134"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42"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895" w:type="dxa"/>
            <w:vMerge w:val="restart"/>
            <w:shd w:val="clear" w:color="auto" w:fill="DAEEF3" w:themeFill="accent5" w:themeFillTint="33"/>
            <w:vAlign w:val="center"/>
          </w:tcPr>
          <w:p>
            <w:pPr>
              <w:widowControl/>
              <w:jc w:val="left"/>
              <w:rPr>
                <w:rFonts w:cs="Times New Roman"/>
                <w:b/>
                <w:bCs/>
                <w:color w:val="000000"/>
                <w:kern w:val="0"/>
                <w:sz w:val="21"/>
                <w:szCs w:val="21"/>
              </w:rPr>
            </w:pPr>
            <w:r>
              <w:rPr>
                <w:rFonts w:hint="eastAsia" w:cs="Times New Roman"/>
                <w:b/>
                <w:bCs/>
                <w:color w:val="000000"/>
                <w:kern w:val="0"/>
                <w:sz w:val="21"/>
                <w:szCs w:val="21"/>
              </w:rPr>
              <w:t>戏剧影视美术设计(舞台技术)</w:t>
            </w:r>
          </w:p>
        </w:tc>
        <w:tc>
          <w:tcPr>
            <w:tcW w:w="1113" w:type="dxa"/>
            <w:shd w:val="clear" w:color="auto" w:fill="DAEEF3" w:themeFill="accent5" w:themeFillTint="33"/>
            <w:vAlign w:val="center"/>
          </w:tcPr>
          <w:p>
            <w:pPr>
              <w:widowControl/>
              <w:jc w:val="center"/>
              <w:rPr>
                <w:rFonts w:cs="Times New Roman"/>
                <w:color w:val="000000"/>
                <w:kern w:val="0"/>
                <w:sz w:val="21"/>
                <w:szCs w:val="21"/>
              </w:rPr>
            </w:pPr>
            <w:r>
              <w:rPr>
                <w:rFonts w:hint="eastAsia" w:cs="Times New Roman"/>
                <w:color w:val="000000"/>
                <w:kern w:val="0"/>
                <w:sz w:val="21"/>
                <w:szCs w:val="21"/>
              </w:rPr>
              <w:t>期望首选</w:t>
            </w:r>
          </w:p>
        </w:tc>
        <w:tc>
          <w:tcPr>
            <w:tcW w:w="876"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100.00</w:t>
            </w:r>
          </w:p>
        </w:tc>
        <w:tc>
          <w:tcPr>
            <w:tcW w:w="1119"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34"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42"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895" w:type="dxa"/>
            <w:vMerge w:val="continue"/>
            <w:vAlign w:val="center"/>
          </w:tcPr>
          <w:p>
            <w:pPr>
              <w:widowControl/>
              <w:jc w:val="left"/>
              <w:rPr>
                <w:rFonts w:cs="Times New Roman"/>
                <w:b/>
                <w:bCs/>
                <w:color w:val="000000"/>
                <w:kern w:val="0"/>
                <w:sz w:val="21"/>
                <w:szCs w:val="21"/>
              </w:rPr>
            </w:pPr>
          </w:p>
        </w:tc>
        <w:tc>
          <w:tcPr>
            <w:tcW w:w="1113" w:type="dxa"/>
            <w:vAlign w:val="center"/>
          </w:tcPr>
          <w:p>
            <w:pPr>
              <w:widowControl/>
              <w:jc w:val="center"/>
              <w:rPr>
                <w:rFonts w:cs="Times New Roman"/>
                <w:color w:val="000000"/>
                <w:kern w:val="0"/>
                <w:sz w:val="21"/>
                <w:szCs w:val="21"/>
              </w:rPr>
            </w:pPr>
            <w:r>
              <w:rPr>
                <w:rFonts w:hint="eastAsia" w:cs="Times New Roman"/>
                <w:color w:val="000000"/>
                <w:kern w:val="0"/>
                <w:sz w:val="21"/>
                <w:szCs w:val="21"/>
              </w:rPr>
              <w:t>最终落实</w:t>
            </w:r>
          </w:p>
        </w:tc>
        <w:tc>
          <w:tcPr>
            <w:tcW w:w="876"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100.00</w:t>
            </w:r>
          </w:p>
        </w:tc>
        <w:tc>
          <w:tcPr>
            <w:tcW w:w="1119"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34"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42"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895" w:type="dxa"/>
            <w:vMerge w:val="restart"/>
            <w:shd w:val="clear" w:color="auto" w:fill="DAEEF3" w:themeFill="accent5" w:themeFillTint="33"/>
            <w:vAlign w:val="center"/>
          </w:tcPr>
          <w:p>
            <w:pPr>
              <w:widowControl/>
              <w:jc w:val="left"/>
              <w:rPr>
                <w:rFonts w:cs="Times New Roman"/>
                <w:b/>
                <w:bCs/>
                <w:color w:val="000000"/>
                <w:kern w:val="0"/>
                <w:sz w:val="21"/>
                <w:szCs w:val="21"/>
              </w:rPr>
            </w:pPr>
            <w:r>
              <w:rPr>
                <w:rFonts w:hint="eastAsia" w:cs="Times New Roman"/>
                <w:b/>
                <w:bCs/>
                <w:color w:val="000000"/>
                <w:kern w:val="0"/>
                <w:sz w:val="21"/>
                <w:szCs w:val="21"/>
              </w:rPr>
              <w:t>戏剧影视文学(电视剧创作)</w:t>
            </w:r>
          </w:p>
        </w:tc>
        <w:tc>
          <w:tcPr>
            <w:tcW w:w="1113" w:type="dxa"/>
            <w:shd w:val="clear" w:color="auto" w:fill="DAEEF3" w:themeFill="accent5" w:themeFillTint="33"/>
            <w:vAlign w:val="center"/>
          </w:tcPr>
          <w:p>
            <w:pPr>
              <w:widowControl/>
              <w:jc w:val="center"/>
              <w:rPr>
                <w:rFonts w:cs="Times New Roman"/>
                <w:color w:val="000000"/>
                <w:kern w:val="0"/>
                <w:sz w:val="21"/>
                <w:szCs w:val="21"/>
              </w:rPr>
            </w:pPr>
            <w:r>
              <w:rPr>
                <w:rFonts w:hint="eastAsia" w:cs="Times New Roman"/>
                <w:color w:val="000000"/>
                <w:kern w:val="0"/>
                <w:sz w:val="21"/>
                <w:szCs w:val="21"/>
              </w:rPr>
              <w:t>期望首选</w:t>
            </w:r>
          </w:p>
        </w:tc>
        <w:tc>
          <w:tcPr>
            <w:tcW w:w="876"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100.00</w:t>
            </w:r>
          </w:p>
        </w:tc>
        <w:tc>
          <w:tcPr>
            <w:tcW w:w="1119"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34"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42"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895" w:type="dxa"/>
            <w:vMerge w:val="continue"/>
            <w:vAlign w:val="center"/>
          </w:tcPr>
          <w:p>
            <w:pPr>
              <w:widowControl/>
              <w:jc w:val="left"/>
              <w:rPr>
                <w:rFonts w:cs="Times New Roman"/>
                <w:b/>
                <w:bCs/>
                <w:color w:val="000000"/>
                <w:kern w:val="0"/>
                <w:sz w:val="21"/>
                <w:szCs w:val="21"/>
              </w:rPr>
            </w:pPr>
          </w:p>
        </w:tc>
        <w:tc>
          <w:tcPr>
            <w:tcW w:w="1113" w:type="dxa"/>
            <w:vAlign w:val="center"/>
          </w:tcPr>
          <w:p>
            <w:pPr>
              <w:widowControl/>
              <w:jc w:val="center"/>
              <w:rPr>
                <w:rFonts w:cs="Times New Roman"/>
                <w:color w:val="000000"/>
                <w:kern w:val="0"/>
                <w:sz w:val="21"/>
                <w:szCs w:val="21"/>
              </w:rPr>
            </w:pPr>
            <w:r>
              <w:rPr>
                <w:rFonts w:hint="eastAsia" w:cs="Times New Roman"/>
                <w:color w:val="000000"/>
                <w:kern w:val="0"/>
                <w:sz w:val="21"/>
                <w:szCs w:val="21"/>
              </w:rPr>
              <w:t>最终落实</w:t>
            </w:r>
          </w:p>
        </w:tc>
        <w:tc>
          <w:tcPr>
            <w:tcW w:w="876"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100.00</w:t>
            </w:r>
          </w:p>
        </w:tc>
        <w:tc>
          <w:tcPr>
            <w:tcW w:w="1119"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34"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42"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bl>
    <w:p>
      <w:pPr>
        <w:pStyle w:val="123"/>
        <w:ind w:firstLine="482"/>
      </w:pPr>
      <w:r>
        <w:rPr>
          <w:rFonts w:hint="eastAsia"/>
          <w:b/>
        </w:rPr>
        <w:t>与2016届</w:t>
      </w:r>
      <w:r>
        <w:rPr>
          <w:b/>
        </w:rPr>
        <w:t>相比，</w:t>
      </w:r>
      <w:r>
        <w:rPr>
          <w:rFonts w:hint="eastAsia"/>
        </w:rPr>
        <w:t>2017届落实在</w:t>
      </w:r>
      <w:r>
        <w:t>北京工作的本科生比例有</w:t>
      </w:r>
      <w:r>
        <w:rPr>
          <w:rFonts w:hint="eastAsia"/>
        </w:rPr>
        <w:t>小幅度</w:t>
      </w:r>
      <w:r>
        <w:t>下降</w:t>
      </w:r>
      <w:r>
        <w:rPr>
          <w:rFonts w:hint="eastAsia"/>
        </w:rPr>
        <w:t>。</w:t>
      </w:r>
      <w:r>
        <w:t>从</w:t>
      </w:r>
      <w:r>
        <w:rPr>
          <w:rFonts w:hint="eastAsia"/>
        </w:rPr>
        <w:t>地理</w:t>
      </w:r>
      <w:r>
        <w:t>位置看，</w:t>
      </w:r>
      <w:r>
        <w:rPr>
          <w:rFonts w:hint="eastAsia"/>
        </w:rPr>
        <w:t>2017届选择</w:t>
      </w:r>
      <w:r>
        <w:t>京外就业</w:t>
      </w:r>
      <w:r>
        <w:rPr>
          <w:rFonts w:hint="eastAsia"/>
        </w:rPr>
        <w:t>的</w:t>
      </w:r>
      <w:r>
        <w:t>本科生最终落实在东部地区</w:t>
      </w:r>
      <w:r>
        <w:rPr>
          <w:rFonts w:hint="eastAsia"/>
        </w:rPr>
        <w:t>的</w:t>
      </w:r>
      <w:r>
        <w:t>比例有所上升，而落实在中部地区的比例下降。</w:t>
      </w:r>
      <w:r>
        <w:rPr>
          <w:rFonts w:hint="eastAsia"/>
        </w:rPr>
        <w:t>从期望与实际的差异来看，2017届</w:t>
      </w:r>
      <w:r>
        <w:t>本科</w:t>
      </w:r>
      <w:r>
        <w:rPr>
          <w:rFonts w:hint="eastAsia"/>
        </w:rPr>
        <w:t>生</w:t>
      </w:r>
      <w:r>
        <w:t>在</w:t>
      </w:r>
      <w:r>
        <w:rPr>
          <w:rFonts w:hint="eastAsia"/>
        </w:rPr>
        <w:t>北京就业</w:t>
      </w:r>
      <w:r>
        <w:t>的期望</w:t>
      </w:r>
      <w:r>
        <w:rPr>
          <w:rFonts w:hint="eastAsia"/>
        </w:rPr>
        <w:t>-落实差要高于2016届，且2017届本科生期望首选北京的</w:t>
      </w:r>
      <w:r>
        <w:t>比例较</w:t>
      </w:r>
      <w:r>
        <w:rPr>
          <w:rFonts w:hint="eastAsia"/>
        </w:rPr>
        <w:t>2016届</w:t>
      </w:r>
      <w:r>
        <w:t>有所增加</w:t>
      </w:r>
      <w:r>
        <w:rPr>
          <w:rFonts w:hint="eastAsia"/>
        </w:rPr>
        <w:t>，</w:t>
      </w:r>
      <w:r>
        <w:t>期望在其他地区就业的比例明显下降</w:t>
      </w:r>
      <w:r>
        <w:rPr>
          <w:rFonts w:hint="eastAsia"/>
        </w:rPr>
        <w:t>。</w:t>
      </w:r>
    </w:p>
    <w:p>
      <w:pPr>
        <w:jc w:val="center"/>
      </w:pPr>
      <w:r>
        <w:drawing>
          <wp:inline distT="0" distB="0" distL="0" distR="0">
            <wp:extent cx="5274310" cy="2875915"/>
            <wp:effectExtent l="0" t="0" r="0" b="0"/>
            <wp:docPr id="399" name="图表 3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107"/>
        <w:spacing w:before="156" w:after="312"/>
      </w:pPr>
      <w:r>
        <w:rPr>
          <w:rFonts w:hint="eastAsia"/>
        </w:rPr>
        <w:t>2016届</w:t>
      </w:r>
      <w:r>
        <w:t>与</w:t>
      </w:r>
      <w:r>
        <w:rPr>
          <w:rFonts w:hint="eastAsia"/>
        </w:rPr>
        <w:t>2017届</w:t>
      </w:r>
      <w:r>
        <w:t>本科生</w:t>
      </w:r>
      <w:r>
        <w:rPr>
          <w:rFonts w:hint="eastAsia"/>
        </w:rPr>
        <w:t>期望首选与最终落实就业地区比较</w:t>
      </w:r>
    </w:p>
    <w:p>
      <w:pPr>
        <w:pStyle w:val="67"/>
        <w:spacing w:before="156" w:after="156"/>
        <w:ind w:left="240"/>
      </w:pPr>
      <w:bookmarkStart w:id="182" w:name="_Toc486857492"/>
      <w:r>
        <w:t>2</w:t>
      </w:r>
      <w:r>
        <w:rPr>
          <w:rFonts w:hint="eastAsia"/>
        </w:rPr>
        <w:t>.就业城市类型</w:t>
      </w:r>
      <w:bookmarkEnd w:id="182"/>
    </w:p>
    <w:p>
      <w:pPr>
        <w:pStyle w:val="41"/>
        <w:ind w:firstLine="480"/>
      </w:pPr>
      <w:r>
        <w:rPr>
          <w:rFonts w:hint="eastAsia"/>
        </w:rPr>
        <w:t>根据行政级别把中国内地城市分为三种类型，直辖市（包括北京、上海、天津、重庆），副省级城市（包括哈尔滨、长春、沈阳、大连、济南、青岛、南京、杭州、宁波、厦门、广州、深圳、武汉、成都、西安15个城市）和地级城市及以下（如苏州、保定等，也包括部分省会城市如福州、长沙等）。</w:t>
      </w:r>
    </w:p>
    <w:p>
      <w:pPr>
        <w:pStyle w:val="123"/>
        <w:ind w:firstLine="480"/>
      </w:pPr>
      <w:bookmarkStart w:id="183" w:name="PO_32221"/>
      <w:bookmarkEnd w:id="183"/>
      <w:r>
        <w:rPr>
          <w:rFonts w:hint="eastAsia"/>
        </w:rPr>
        <w:t>调查显示，就城市类型而言，本科生就业城市类型比例最高的为直辖市（94.70%）。也就是说大部分本科生更倾向在经济发展水平较高且工作机会更多的直辖市工作，但也有的学生最终未能如愿。</w:t>
      </w:r>
    </w:p>
    <w:p>
      <w:pPr>
        <w:jc w:val="center"/>
      </w:pPr>
      <w:bookmarkStart w:id="184" w:name="PO_32222"/>
      <w:bookmarkEnd w:id="184"/>
      <w:r>
        <w:drawing>
          <wp:inline distT="0" distB="0" distL="0" distR="0">
            <wp:extent cx="5274310" cy="2875915"/>
            <wp:effectExtent l="19050" t="0" r="21590" b="557"/>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107"/>
        <w:spacing w:before="156" w:after="312"/>
      </w:pPr>
      <w:r>
        <w:rPr>
          <w:rFonts w:hint="eastAsia"/>
        </w:rPr>
        <w:t>期望首选与最终落实就业城市类型</w:t>
      </w:r>
    </w:p>
    <w:p>
      <w:pPr>
        <w:pStyle w:val="41"/>
        <w:ind w:firstLine="480"/>
      </w:pPr>
    </w:p>
    <w:p>
      <w:pPr>
        <w:pStyle w:val="67"/>
        <w:spacing w:before="156" w:after="156"/>
        <w:ind w:left="240"/>
      </w:pPr>
      <w:bookmarkStart w:id="185" w:name="_Toc486857493"/>
      <w:r>
        <w:t>3</w:t>
      </w:r>
      <w:r>
        <w:rPr>
          <w:rFonts w:hint="eastAsia"/>
        </w:rPr>
        <w:t>.</w:t>
      </w:r>
      <w:r>
        <w:t>单位类型</w:t>
      </w:r>
      <w:bookmarkEnd w:id="185"/>
    </w:p>
    <w:p>
      <w:pPr>
        <w:pStyle w:val="123"/>
        <w:ind w:firstLine="480"/>
      </w:pPr>
      <w:bookmarkStart w:id="186" w:name="PO_32231"/>
      <w:bookmarkEnd w:id="186"/>
      <w:r>
        <w:rPr>
          <w:rFonts w:hint="eastAsia"/>
        </w:rPr>
        <w:t>调查显示，本科生最终落实的三个主要就业单位类型依次为：民营/私营企业（46.36%）、事业单位（15.23%）、国有企业（7.28%）。从就业期望看，分别有5.30%、1.32%的本科生期望在国有企业、事业单位工作而未能如愿。</w:t>
      </w:r>
    </w:p>
    <w:p>
      <w:pPr>
        <w:jc w:val="center"/>
      </w:pPr>
      <w:bookmarkStart w:id="187" w:name="PO_32232"/>
      <w:bookmarkEnd w:id="187"/>
      <w:r>
        <w:drawing>
          <wp:inline distT="0" distB="0" distL="0" distR="0">
            <wp:extent cx="5274310" cy="2875915"/>
            <wp:effectExtent l="19050" t="0" r="21590" b="557"/>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pStyle w:val="107"/>
        <w:spacing w:before="156" w:after="312"/>
      </w:pPr>
      <w:r>
        <w:rPr>
          <w:rFonts w:hint="eastAsia"/>
        </w:rPr>
        <w:t>期望首选与最终落实就业单位类型</w:t>
      </w:r>
    </w:p>
    <w:p>
      <w:pPr>
        <w:pStyle w:val="123"/>
        <w:ind w:firstLine="482"/>
      </w:pPr>
      <w:r>
        <w:rPr>
          <w:rFonts w:hint="eastAsia"/>
          <w:b/>
        </w:rPr>
        <w:t>就专业而言</w:t>
      </w:r>
      <w:r>
        <w:rPr>
          <w:rFonts w:hint="eastAsia"/>
        </w:rPr>
        <w:t>，</w:t>
      </w:r>
      <w:bookmarkStart w:id="188" w:name="PO_32234"/>
      <w:bookmarkEnd w:id="188"/>
      <w:r>
        <w:rPr>
          <w:rFonts w:hint="eastAsia"/>
        </w:rPr>
        <w:t>本科生最终落实在民营企业比例较高的专业有：导演（演出制作）和戏剧影视导演；落实在事业单位比例较高的专业有：戏剧影视美术设计(舞台技术)、戏剧影视美术设计(舞台灯光)和表演。</w:t>
      </w:r>
    </w:p>
    <w:p>
      <w:pPr>
        <w:pStyle w:val="55"/>
        <w:spacing w:before="312" w:after="156"/>
      </w:pPr>
      <w:bookmarkStart w:id="189" w:name="PO_32235"/>
      <w:bookmarkEnd w:id="189"/>
      <w:bookmarkStart w:id="190" w:name="PO_32236"/>
      <w:bookmarkEnd w:id="190"/>
      <w:r>
        <w:rPr>
          <w:rFonts w:hint="eastAsia"/>
        </w:rPr>
        <w:t>不同专业本科生期望首选与最终落实就业单位类型（%）</w:t>
      </w:r>
    </w:p>
    <w:tbl>
      <w:tblPr>
        <w:tblStyle w:val="125"/>
        <w:tblW w:w="10137" w:type="dxa"/>
        <w:jc w:val="center"/>
        <w:tblInd w:w="-773"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3170"/>
        <w:gridCol w:w="1147"/>
        <w:gridCol w:w="758"/>
        <w:gridCol w:w="1013"/>
        <w:gridCol w:w="1013"/>
        <w:gridCol w:w="1013"/>
        <w:gridCol w:w="1010"/>
        <w:gridCol w:w="1013"/>
      </w:tblGrid>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555" w:hRule="atLeast"/>
          <w:jc w:val="center"/>
        </w:trPr>
        <w:tc>
          <w:tcPr>
            <w:tcW w:w="3170" w:type="dxa"/>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专业</w:t>
            </w:r>
          </w:p>
        </w:tc>
        <w:tc>
          <w:tcPr>
            <w:tcW w:w="1147"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类别</w:t>
            </w:r>
          </w:p>
        </w:tc>
        <w:tc>
          <w:tcPr>
            <w:tcW w:w="758"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机关</w:t>
            </w:r>
          </w:p>
        </w:tc>
        <w:tc>
          <w:tcPr>
            <w:tcW w:w="1013"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事业单位</w:t>
            </w:r>
          </w:p>
        </w:tc>
        <w:tc>
          <w:tcPr>
            <w:tcW w:w="1013"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国有企业</w:t>
            </w:r>
          </w:p>
        </w:tc>
        <w:tc>
          <w:tcPr>
            <w:tcW w:w="1013"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三资企业</w:t>
            </w:r>
          </w:p>
        </w:tc>
        <w:tc>
          <w:tcPr>
            <w:tcW w:w="1010"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民营</w:t>
            </w:r>
            <w:r>
              <w:rPr>
                <w:rFonts w:ascii="等线" w:hAnsi="等线" w:eastAsia="等线" w:cs="宋体"/>
                <w:b/>
                <w:bCs/>
                <w:color w:val="FFFFFF" w:themeColor="background1"/>
                <w:kern w:val="0"/>
                <w:sz w:val="21"/>
                <w:szCs w:val="21"/>
              </w:rPr>
              <w:t>/</w:t>
            </w:r>
            <w:r>
              <w:rPr>
                <w:rFonts w:ascii="宋体" w:hAnsi="宋体" w:cs="宋体"/>
                <w:b/>
                <w:bCs/>
                <w:color w:val="FFFFFF" w:themeColor="background1"/>
                <w:kern w:val="0"/>
                <w:sz w:val="21"/>
                <w:szCs w:val="21"/>
              </w:rPr>
              <w:t>私营企业</w:t>
            </w:r>
          </w:p>
        </w:tc>
        <w:tc>
          <w:tcPr>
            <w:tcW w:w="1013" w:type="dxa"/>
            <w:tcBorders>
              <w:top w:val="single" w:color="4BACC6" w:themeColor="accent5" w:sz="4" w:space="0"/>
              <w:bottom w:val="single" w:color="4BACC6" w:themeColor="accent5" w:sz="4" w:space="0"/>
              <w:right w:val="single" w:color="4BACC6" w:themeColor="accent5" w:sz="4" w:space="0"/>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其他</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3170" w:type="dxa"/>
            <w:vMerge w:val="restart"/>
            <w:shd w:val="clear" w:color="auto" w:fill="DAEEF3" w:themeFill="accent5" w:themeFillTint="33"/>
            <w:vAlign w:val="center"/>
          </w:tcPr>
          <w:p>
            <w:pPr>
              <w:widowControl/>
              <w:jc w:val="left"/>
              <w:rPr>
                <w:rFonts w:ascii="宋体" w:hAnsi="宋体" w:cs="宋体"/>
                <w:b/>
                <w:bCs/>
                <w:color w:val="000000"/>
                <w:kern w:val="0"/>
                <w:sz w:val="21"/>
                <w:szCs w:val="21"/>
              </w:rPr>
            </w:pPr>
            <w:r>
              <w:rPr>
                <w:rFonts w:hint="eastAsia" w:ascii="宋体" w:hAnsi="宋体" w:cs="宋体"/>
                <w:b/>
                <w:bCs/>
                <w:color w:val="000000"/>
                <w:kern w:val="0"/>
                <w:sz w:val="21"/>
                <w:szCs w:val="21"/>
              </w:rPr>
              <w:t>表演</w:t>
            </w:r>
          </w:p>
        </w:tc>
        <w:tc>
          <w:tcPr>
            <w:tcW w:w="1147" w:type="dxa"/>
            <w:shd w:val="clear" w:color="auto" w:fill="DAEEF3" w:themeFill="accent5" w:themeFillTint="33"/>
            <w:vAlign w:val="center"/>
          </w:tcPr>
          <w:p>
            <w:pPr>
              <w:widowControl/>
              <w:jc w:val="center"/>
              <w:rPr>
                <w:rFonts w:cs="宋体"/>
                <w:color w:val="000000"/>
                <w:kern w:val="0"/>
                <w:sz w:val="21"/>
                <w:szCs w:val="21"/>
              </w:rPr>
            </w:pPr>
            <w:r>
              <w:rPr>
                <w:rFonts w:hint="eastAsia" w:cs="宋体"/>
                <w:color w:val="000000"/>
                <w:kern w:val="0"/>
                <w:sz w:val="21"/>
                <w:szCs w:val="21"/>
              </w:rPr>
              <w:t>最终落实</w:t>
            </w:r>
          </w:p>
        </w:tc>
        <w:tc>
          <w:tcPr>
            <w:tcW w:w="758"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12.50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25.00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12.50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0"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12.50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37.50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64" w:hRule="atLeast"/>
          <w:jc w:val="center"/>
        </w:trPr>
        <w:tc>
          <w:tcPr>
            <w:tcW w:w="3170" w:type="dxa"/>
            <w:vMerge w:val="continue"/>
            <w:vAlign w:val="center"/>
          </w:tcPr>
          <w:p>
            <w:pPr>
              <w:widowControl/>
              <w:jc w:val="left"/>
              <w:rPr>
                <w:rFonts w:ascii="宋体" w:hAnsi="宋体" w:cs="宋体"/>
                <w:b/>
                <w:bCs/>
                <w:color w:val="000000"/>
                <w:kern w:val="0"/>
                <w:sz w:val="21"/>
                <w:szCs w:val="21"/>
              </w:rPr>
            </w:pPr>
          </w:p>
        </w:tc>
        <w:tc>
          <w:tcPr>
            <w:tcW w:w="1147" w:type="dxa"/>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期望首选</w:t>
            </w:r>
          </w:p>
        </w:tc>
        <w:tc>
          <w:tcPr>
            <w:tcW w:w="758"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12.50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12.50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12.50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0"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62.50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64" w:hRule="atLeast"/>
          <w:jc w:val="center"/>
        </w:trPr>
        <w:tc>
          <w:tcPr>
            <w:tcW w:w="3170" w:type="dxa"/>
            <w:vMerge w:val="restart"/>
            <w:shd w:val="clear" w:color="auto" w:fill="DAEEF3" w:themeFill="accent5" w:themeFillTint="33"/>
            <w:vAlign w:val="center"/>
          </w:tcPr>
          <w:p>
            <w:pPr>
              <w:widowControl/>
              <w:jc w:val="left"/>
              <w:rPr>
                <w:rFonts w:ascii="宋体" w:hAnsi="宋体" w:cs="宋体"/>
                <w:b/>
                <w:bCs/>
                <w:color w:val="000000"/>
                <w:kern w:val="0"/>
                <w:sz w:val="21"/>
                <w:szCs w:val="21"/>
              </w:rPr>
            </w:pPr>
            <w:r>
              <w:rPr>
                <w:rFonts w:hint="eastAsia" w:ascii="宋体" w:hAnsi="宋体" w:cs="宋体"/>
                <w:b/>
                <w:bCs/>
                <w:color w:val="000000"/>
                <w:kern w:val="0"/>
                <w:sz w:val="21"/>
                <w:szCs w:val="21"/>
              </w:rPr>
              <w:t>表演（戏剧影视表演）</w:t>
            </w:r>
          </w:p>
        </w:tc>
        <w:tc>
          <w:tcPr>
            <w:tcW w:w="1147" w:type="dxa"/>
            <w:shd w:val="clear" w:color="auto" w:fill="DAEEF3" w:themeFill="accent5" w:themeFillTint="33"/>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最终落实</w:t>
            </w:r>
          </w:p>
        </w:tc>
        <w:tc>
          <w:tcPr>
            <w:tcW w:w="758"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6.45</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12.90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3.23</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0"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41.94</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35.48</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64" w:hRule="atLeast"/>
          <w:jc w:val="center"/>
        </w:trPr>
        <w:tc>
          <w:tcPr>
            <w:tcW w:w="3170" w:type="dxa"/>
            <w:vMerge w:val="continue"/>
            <w:vAlign w:val="center"/>
          </w:tcPr>
          <w:p>
            <w:pPr>
              <w:widowControl/>
              <w:jc w:val="left"/>
              <w:rPr>
                <w:rFonts w:ascii="宋体" w:hAnsi="宋体" w:cs="宋体"/>
                <w:b/>
                <w:bCs/>
                <w:color w:val="000000"/>
                <w:kern w:val="0"/>
                <w:sz w:val="21"/>
                <w:szCs w:val="21"/>
              </w:rPr>
            </w:pPr>
          </w:p>
        </w:tc>
        <w:tc>
          <w:tcPr>
            <w:tcW w:w="1147" w:type="dxa"/>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期望首选</w:t>
            </w:r>
          </w:p>
        </w:tc>
        <w:tc>
          <w:tcPr>
            <w:tcW w:w="758"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3.23</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19.35</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9.68</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3.23</w:t>
            </w:r>
          </w:p>
        </w:tc>
        <w:tc>
          <w:tcPr>
            <w:tcW w:w="1010"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35.48</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29.03</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64" w:hRule="atLeast"/>
          <w:jc w:val="center"/>
        </w:trPr>
        <w:tc>
          <w:tcPr>
            <w:tcW w:w="3170" w:type="dxa"/>
            <w:vMerge w:val="restart"/>
            <w:shd w:val="clear" w:color="auto" w:fill="DAEEF3" w:themeFill="accent5" w:themeFillTint="33"/>
            <w:vAlign w:val="center"/>
          </w:tcPr>
          <w:p>
            <w:pPr>
              <w:widowControl/>
              <w:jc w:val="left"/>
              <w:rPr>
                <w:rFonts w:ascii="宋体" w:hAnsi="宋体" w:cs="宋体"/>
                <w:b/>
                <w:bCs/>
                <w:color w:val="000000"/>
                <w:kern w:val="0"/>
                <w:sz w:val="21"/>
                <w:szCs w:val="21"/>
              </w:rPr>
            </w:pPr>
            <w:r>
              <w:rPr>
                <w:rFonts w:hint="eastAsia" w:ascii="宋体" w:hAnsi="宋体" w:cs="宋体"/>
                <w:b/>
                <w:bCs/>
                <w:color w:val="000000"/>
                <w:kern w:val="0"/>
                <w:sz w:val="21"/>
                <w:szCs w:val="21"/>
              </w:rPr>
              <w:t>表演（音乐剧）</w:t>
            </w:r>
          </w:p>
        </w:tc>
        <w:tc>
          <w:tcPr>
            <w:tcW w:w="1147" w:type="dxa"/>
            <w:shd w:val="clear" w:color="auto" w:fill="DAEEF3" w:themeFill="accent5" w:themeFillTint="33"/>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最终落实</w:t>
            </w:r>
          </w:p>
        </w:tc>
        <w:tc>
          <w:tcPr>
            <w:tcW w:w="758"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10.53</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5.26</w:t>
            </w:r>
          </w:p>
        </w:tc>
        <w:tc>
          <w:tcPr>
            <w:tcW w:w="1010"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47.37</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36.84</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64" w:hRule="atLeast"/>
          <w:jc w:val="center"/>
        </w:trPr>
        <w:tc>
          <w:tcPr>
            <w:tcW w:w="3170" w:type="dxa"/>
            <w:vMerge w:val="continue"/>
            <w:vAlign w:val="center"/>
          </w:tcPr>
          <w:p>
            <w:pPr>
              <w:widowControl/>
              <w:jc w:val="left"/>
              <w:rPr>
                <w:rFonts w:ascii="宋体" w:hAnsi="宋体" w:cs="宋体"/>
                <w:b/>
                <w:bCs/>
                <w:color w:val="000000"/>
                <w:kern w:val="0"/>
                <w:sz w:val="21"/>
                <w:szCs w:val="21"/>
              </w:rPr>
            </w:pPr>
          </w:p>
        </w:tc>
        <w:tc>
          <w:tcPr>
            <w:tcW w:w="1147" w:type="dxa"/>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期望首选</w:t>
            </w:r>
          </w:p>
        </w:tc>
        <w:tc>
          <w:tcPr>
            <w:tcW w:w="758"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15.79</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5.26</w:t>
            </w:r>
          </w:p>
        </w:tc>
        <w:tc>
          <w:tcPr>
            <w:tcW w:w="1010"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47.37</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31.58</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64" w:hRule="atLeast"/>
          <w:jc w:val="center"/>
        </w:trPr>
        <w:tc>
          <w:tcPr>
            <w:tcW w:w="3170" w:type="dxa"/>
            <w:vMerge w:val="restart"/>
            <w:shd w:val="clear" w:color="auto" w:fill="DAEEF3" w:themeFill="accent5" w:themeFillTint="33"/>
            <w:vAlign w:val="center"/>
          </w:tcPr>
          <w:p>
            <w:pPr>
              <w:widowControl/>
              <w:jc w:val="left"/>
              <w:rPr>
                <w:rFonts w:ascii="宋体" w:hAnsi="宋体" w:cs="宋体"/>
                <w:b/>
                <w:bCs/>
                <w:color w:val="000000"/>
                <w:kern w:val="0"/>
                <w:sz w:val="21"/>
                <w:szCs w:val="21"/>
              </w:rPr>
            </w:pPr>
            <w:r>
              <w:rPr>
                <w:rFonts w:hint="eastAsia" w:ascii="宋体" w:hAnsi="宋体" w:cs="宋体"/>
                <w:b/>
                <w:bCs/>
                <w:color w:val="000000"/>
                <w:kern w:val="0"/>
                <w:sz w:val="21"/>
                <w:szCs w:val="21"/>
              </w:rPr>
              <w:t>导演（演出制作）</w:t>
            </w:r>
          </w:p>
        </w:tc>
        <w:tc>
          <w:tcPr>
            <w:tcW w:w="1147" w:type="dxa"/>
            <w:shd w:val="clear" w:color="auto" w:fill="DAEEF3" w:themeFill="accent5" w:themeFillTint="33"/>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最终落实</w:t>
            </w:r>
          </w:p>
        </w:tc>
        <w:tc>
          <w:tcPr>
            <w:tcW w:w="758"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0"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100.00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64" w:hRule="atLeast"/>
          <w:jc w:val="center"/>
        </w:trPr>
        <w:tc>
          <w:tcPr>
            <w:tcW w:w="3170" w:type="dxa"/>
            <w:vMerge w:val="continue"/>
            <w:vAlign w:val="center"/>
          </w:tcPr>
          <w:p>
            <w:pPr>
              <w:widowControl/>
              <w:jc w:val="left"/>
              <w:rPr>
                <w:rFonts w:ascii="宋体" w:hAnsi="宋体" w:cs="宋体"/>
                <w:b/>
                <w:bCs/>
                <w:color w:val="000000"/>
                <w:kern w:val="0"/>
                <w:sz w:val="21"/>
                <w:szCs w:val="21"/>
              </w:rPr>
            </w:pPr>
          </w:p>
        </w:tc>
        <w:tc>
          <w:tcPr>
            <w:tcW w:w="1147" w:type="dxa"/>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期望首选</w:t>
            </w:r>
          </w:p>
        </w:tc>
        <w:tc>
          <w:tcPr>
            <w:tcW w:w="758"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0"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64" w:hRule="atLeast"/>
          <w:jc w:val="center"/>
        </w:trPr>
        <w:tc>
          <w:tcPr>
            <w:tcW w:w="3170" w:type="dxa"/>
            <w:vMerge w:val="restart"/>
            <w:shd w:val="clear" w:color="auto" w:fill="DAEEF3" w:themeFill="accent5" w:themeFillTint="33"/>
            <w:vAlign w:val="center"/>
          </w:tcPr>
          <w:p>
            <w:pPr>
              <w:widowControl/>
              <w:jc w:val="left"/>
              <w:rPr>
                <w:rFonts w:ascii="宋体" w:hAnsi="宋体" w:cs="宋体"/>
                <w:b/>
                <w:bCs/>
                <w:color w:val="000000"/>
                <w:kern w:val="0"/>
                <w:sz w:val="21"/>
                <w:szCs w:val="21"/>
              </w:rPr>
            </w:pPr>
            <w:r>
              <w:rPr>
                <w:rFonts w:hint="eastAsia" w:ascii="宋体" w:hAnsi="宋体" w:cs="宋体"/>
                <w:b/>
                <w:bCs/>
                <w:color w:val="000000"/>
                <w:kern w:val="0"/>
                <w:sz w:val="21"/>
                <w:szCs w:val="21"/>
              </w:rPr>
              <w:t>导演（影视编导）</w:t>
            </w:r>
          </w:p>
        </w:tc>
        <w:tc>
          <w:tcPr>
            <w:tcW w:w="1147" w:type="dxa"/>
            <w:shd w:val="clear" w:color="auto" w:fill="DAEEF3" w:themeFill="accent5" w:themeFillTint="33"/>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最终落实</w:t>
            </w:r>
          </w:p>
        </w:tc>
        <w:tc>
          <w:tcPr>
            <w:tcW w:w="758"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0"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33.33</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66.67</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64" w:hRule="atLeast"/>
          <w:jc w:val="center"/>
        </w:trPr>
        <w:tc>
          <w:tcPr>
            <w:tcW w:w="3170" w:type="dxa"/>
            <w:vMerge w:val="continue"/>
            <w:vAlign w:val="center"/>
          </w:tcPr>
          <w:p>
            <w:pPr>
              <w:widowControl/>
              <w:jc w:val="left"/>
              <w:rPr>
                <w:rFonts w:ascii="宋体" w:hAnsi="宋体" w:cs="宋体"/>
                <w:b/>
                <w:bCs/>
                <w:color w:val="000000"/>
                <w:kern w:val="0"/>
                <w:sz w:val="21"/>
                <w:szCs w:val="21"/>
              </w:rPr>
            </w:pPr>
          </w:p>
        </w:tc>
        <w:tc>
          <w:tcPr>
            <w:tcW w:w="1147" w:type="dxa"/>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期望首选</w:t>
            </w:r>
          </w:p>
        </w:tc>
        <w:tc>
          <w:tcPr>
            <w:tcW w:w="758"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33.33</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0"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33.33</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33.33</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64" w:hRule="atLeast"/>
          <w:jc w:val="center"/>
        </w:trPr>
        <w:tc>
          <w:tcPr>
            <w:tcW w:w="3170" w:type="dxa"/>
            <w:vMerge w:val="restart"/>
            <w:shd w:val="clear" w:color="auto" w:fill="DAEEF3" w:themeFill="accent5" w:themeFillTint="33"/>
            <w:vAlign w:val="center"/>
          </w:tcPr>
          <w:p>
            <w:pPr>
              <w:widowControl/>
              <w:jc w:val="left"/>
              <w:rPr>
                <w:rFonts w:ascii="宋体" w:hAnsi="宋体" w:cs="宋体"/>
                <w:b/>
                <w:bCs/>
                <w:color w:val="000000"/>
                <w:kern w:val="0"/>
                <w:sz w:val="21"/>
                <w:szCs w:val="21"/>
              </w:rPr>
            </w:pPr>
            <w:r>
              <w:rPr>
                <w:rFonts w:hint="eastAsia" w:ascii="宋体" w:hAnsi="宋体" w:cs="宋体"/>
                <w:b/>
                <w:bCs/>
                <w:color w:val="000000"/>
                <w:kern w:val="0"/>
                <w:sz w:val="21"/>
                <w:szCs w:val="21"/>
              </w:rPr>
              <w:t>戏剧学</w:t>
            </w:r>
            <w:r>
              <w:rPr>
                <w:rFonts w:ascii="宋体" w:hAnsi="宋体" w:cs="宋体"/>
                <w:b/>
                <w:bCs/>
                <w:color w:val="000000"/>
                <w:kern w:val="0"/>
                <w:sz w:val="21"/>
                <w:szCs w:val="21"/>
              </w:rPr>
              <w:t>(戏剧史论与批评)</w:t>
            </w:r>
          </w:p>
        </w:tc>
        <w:tc>
          <w:tcPr>
            <w:tcW w:w="1147" w:type="dxa"/>
            <w:shd w:val="clear" w:color="auto" w:fill="DAEEF3" w:themeFill="accent5" w:themeFillTint="33"/>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最终落实</w:t>
            </w:r>
          </w:p>
        </w:tc>
        <w:tc>
          <w:tcPr>
            <w:tcW w:w="758"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20.00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0"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60.00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64" w:hRule="atLeast"/>
          <w:jc w:val="center"/>
        </w:trPr>
        <w:tc>
          <w:tcPr>
            <w:tcW w:w="3170" w:type="dxa"/>
            <w:vMerge w:val="continue"/>
            <w:vAlign w:val="center"/>
          </w:tcPr>
          <w:p>
            <w:pPr>
              <w:widowControl/>
              <w:jc w:val="left"/>
              <w:rPr>
                <w:rFonts w:ascii="宋体" w:hAnsi="宋体" w:cs="宋体"/>
                <w:b/>
                <w:bCs/>
                <w:color w:val="000000"/>
                <w:kern w:val="0"/>
                <w:sz w:val="21"/>
                <w:szCs w:val="21"/>
              </w:rPr>
            </w:pPr>
          </w:p>
        </w:tc>
        <w:tc>
          <w:tcPr>
            <w:tcW w:w="1147" w:type="dxa"/>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期望首选</w:t>
            </w:r>
          </w:p>
        </w:tc>
        <w:tc>
          <w:tcPr>
            <w:tcW w:w="758"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0"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64" w:hRule="atLeast"/>
          <w:jc w:val="center"/>
        </w:trPr>
        <w:tc>
          <w:tcPr>
            <w:tcW w:w="3170" w:type="dxa"/>
            <w:vMerge w:val="restart"/>
            <w:shd w:val="clear" w:color="auto" w:fill="DAEEF3" w:themeFill="accent5" w:themeFillTint="33"/>
            <w:vAlign w:val="center"/>
          </w:tcPr>
          <w:p>
            <w:pPr>
              <w:widowControl/>
              <w:jc w:val="left"/>
              <w:rPr>
                <w:rFonts w:ascii="宋体" w:hAnsi="宋体" w:cs="宋体"/>
                <w:b/>
                <w:bCs/>
                <w:color w:val="000000"/>
                <w:kern w:val="0"/>
                <w:sz w:val="21"/>
                <w:szCs w:val="21"/>
              </w:rPr>
            </w:pPr>
            <w:r>
              <w:rPr>
                <w:rFonts w:hint="eastAsia" w:ascii="宋体" w:hAnsi="宋体" w:cs="宋体"/>
                <w:b/>
                <w:bCs/>
                <w:color w:val="000000"/>
                <w:kern w:val="0"/>
                <w:sz w:val="21"/>
                <w:szCs w:val="21"/>
              </w:rPr>
              <w:t>戏剧影视导演</w:t>
            </w:r>
          </w:p>
        </w:tc>
        <w:tc>
          <w:tcPr>
            <w:tcW w:w="1147" w:type="dxa"/>
            <w:shd w:val="clear" w:color="auto" w:fill="DAEEF3" w:themeFill="accent5" w:themeFillTint="33"/>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最终落实</w:t>
            </w:r>
          </w:p>
        </w:tc>
        <w:tc>
          <w:tcPr>
            <w:tcW w:w="758"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13.51</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13.51</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0"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62.16</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10.81</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64" w:hRule="atLeast"/>
          <w:jc w:val="center"/>
        </w:trPr>
        <w:tc>
          <w:tcPr>
            <w:tcW w:w="3170" w:type="dxa"/>
            <w:vMerge w:val="continue"/>
            <w:vAlign w:val="center"/>
          </w:tcPr>
          <w:p>
            <w:pPr>
              <w:widowControl/>
              <w:jc w:val="left"/>
              <w:rPr>
                <w:rFonts w:ascii="宋体" w:hAnsi="宋体" w:cs="宋体"/>
                <w:b/>
                <w:bCs/>
                <w:color w:val="000000"/>
                <w:kern w:val="0"/>
                <w:sz w:val="21"/>
                <w:szCs w:val="21"/>
              </w:rPr>
            </w:pPr>
          </w:p>
        </w:tc>
        <w:tc>
          <w:tcPr>
            <w:tcW w:w="1147" w:type="dxa"/>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期望首选</w:t>
            </w:r>
          </w:p>
        </w:tc>
        <w:tc>
          <w:tcPr>
            <w:tcW w:w="758"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2.70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16.22</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18.92</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0"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51.35</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10.81</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64" w:hRule="atLeast"/>
          <w:jc w:val="center"/>
        </w:trPr>
        <w:tc>
          <w:tcPr>
            <w:tcW w:w="3170" w:type="dxa"/>
            <w:vMerge w:val="restart"/>
            <w:shd w:val="clear" w:color="auto" w:fill="DAEEF3" w:themeFill="accent5" w:themeFillTint="33"/>
            <w:vAlign w:val="center"/>
          </w:tcPr>
          <w:p>
            <w:pPr>
              <w:widowControl/>
              <w:jc w:val="left"/>
              <w:rPr>
                <w:rFonts w:ascii="宋体" w:hAnsi="宋体" w:cs="宋体"/>
                <w:b/>
                <w:bCs/>
                <w:color w:val="000000"/>
                <w:kern w:val="0"/>
                <w:sz w:val="21"/>
                <w:szCs w:val="21"/>
              </w:rPr>
            </w:pPr>
            <w:r>
              <w:rPr>
                <w:rFonts w:hint="eastAsia" w:ascii="宋体" w:hAnsi="宋体" w:cs="宋体"/>
                <w:b/>
                <w:bCs/>
                <w:color w:val="000000"/>
                <w:kern w:val="0"/>
                <w:sz w:val="21"/>
                <w:szCs w:val="21"/>
              </w:rPr>
              <w:t>戏剧影视美术设计</w:t>
            </w:r>
            <w:r>
              <w:rPr>
                <w:rFonts w:ascii="宋体" w:hAnsi="宋体" w:cs="宋体"/>
                <w:b/>
                <w:bCs/>
                <w:color w:val="000000"/>
                <w:kern w:val="0"/>
                <w:sz w:val="21"/>
                <w:szCs w:val="21"/>
              </w:rPr>
              <w:t>(舞台灯光)</w:t>
            </w:r>
          </w:p>
        </w:tc>
        <w:tc>
          <w:tcPr>
            <w:tcW w:w="1147" w:type="dxa"/>
            <w:shd w:val="clear" w:color="auto" w:fill="DAEEF3" w:themeFill="accent5" w:themeFillTint="33"/>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最终落实</w:t>
            </w:r>
          </w:p>
        </w:tc>
        <w:tc>
          <w:tcPr>
            <w:tcW w:w="758"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37.50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12.50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12.50</w:t>
            </w:r>
          </w:p>
        </w:tc>
        <w:tc>
          <w:tcPr>
            <w:tcW w:w="1010"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25.00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12.50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64" w:hRule="atLeast"/>
          <w:jc w:val="center"/>
        </w:trPr>
        <w:tc>
          <w:tcPr>
            <w:tcW w:w="3170" w:type="dxa"/>
            <w:vMerge w:val="continue"/>
            <w:vAlign w:val="center"/>
          </w:tcPr>
          <w:p>
            <w:pPr>
              <w:widowControl/>
              <w:jc w:val="left"/>
              <w:rPr>
                <w:rFonts w:ascii="宋体" w:hAnsi="宋体" w:cs="宋体"/>
                <w:b/>
                <w:bCs/>
                <w:color w:val="000000"/>
                <w:kern w:val="0"/>
                <w:sz w:val="21"/>
                <w:szCs w:val="21"/>
              </w:rPr>
            </w:pPr>
          </w:p>
        </w:tc>
        <w:tc>
          <w:tcPr>
            <w:tcW w:w="1147" w:type="dxa"/>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期望首选</w:t>
            </w:r>
          </w:p>
        </w:tc>
        <w:tc>
          <w:tcPr>
            <w:tcW w:w="758"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25.00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0"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25.00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64" w:hRule="atLeast"/>
          <w:jc w:val="center"/>
        </w:trPr>
        <w:tc>
          <w:tcPr>
            <w:tcW w:w="3170" w:type="dxa"/>
            <w:vMerge w:val="restart"/>
            <w:shd w:val="clear" w:color="auto" w:fill="DAEEF3" w:themeFill="accent5" w:themeFillTint="33"/>
            <w:vAlign w:val="center"/>
          </w:tcPr>
          <w:p>
            <w:pPr>
              <w:widowControl/>
              <w:jc w:val="left"/>
              <w:rPr>
                <w:rFonts w:ascii="宋体" w:hAnsi="宋体" w:cs="宋体"/>
                <w:b/>
                <w:bCs/>
                <w:color w:val="000000"/>
                <w:kern w:val="0"/>
                <w:sz w:val="21"/>
                <w:szCs w:val="21"/>
              </w:rPr>
            </w:pPr>
            <w:r>
              <w:rPr>
                <w:rFonts w:hint="eastAsia" w:ascii="宋体" w:hAnsi="宋体" w:cs="宋体"/>
                <w:b/>
                <w:bCs/>
                <w:color w:val="000000"/>
                <w:kern w:val="0"/>
                <w:sz w:val="21"/>
                <w:szCs w:val="21"/>
              </w:rPr>
              <w:t>戏剧影视美术设计</w:t>
            </w:r>
            <w:r>
              <w:rPr>
                <w:rFonts w:ascii="宋体" w:hAnsi="宋体" w:cs="宋体"/>
                <w:b/>
                <w:bCs/>
                <w:color w:val="000000"/>
                <w:kern w:val="0"/>
                <w:sz w:val="21"/>
                <w:szCs w:val="21"/>
              </w:rPr>
              <w:t>(舞台服装)</w:t>
            </w:r>
          </w:p>
        </w:tc>
        <w:tc>
          <w:tcPr>
            <w:tcW w:w="1147" w:type="dxa"/>
            <w:shd w:val="clear" w:color="auto" w:fill="DAEEF3" w:themeFill="accent5" w:themeFillTint="33"/>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最终落实</w:t>
            </w:r>
          </w:p>
        </w:tc>
        <w:tc>
          <w:tcPr>
            <w:tcW w:w="758"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14.29</w:t>
            </w:r>
          </w:p>
        </w:tc>
        <w:tc>
          <w:tcPr>
            <w:tcW w:w="1010"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42.86</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42.86</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64" w:hRule="atLeast"/>
          <w:jc w:val="center"/>
        </w:trPr>
        <w:tc>
          <w:tcPr>
            <w:tcW w:w="3170" w:type="dxa"/>
            <w:vMerge w:val="continue"/>
            <w:vAlign w:val="center"/>
          </w:tcPr>
          <w:p>
            <w:pPr>
              <w:widowControl/>
              <w:jc w:val="left"/>
              <w:rPr>
                <w:rFonts w:ascii="宋体" w:hAnsi="宋体" w:cs="宋体"/>
                <w:b/>
                <w:bCs/>
                <w:color w:val="000000"/>
                <w:kern w:val="0"/>
                <w:sz w:val="21"/>
                <w:szCs w:val="21"/>
              </w:rPr>
            </w:pPr>
          </w:p>
        </w:tc>
        <w:tc>
          <w:tcPr>
            <w:tcW w:w="1147" w:type="dxa"/>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期望首选</w:t>
            </w:r>
          </w:p>
        </w:tc>
        <w:tc>
          <w:tcPr>
            <w:tcW w:w="758"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28.57</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14.29</w:t>
            </w:r>
          </w:p>
        </w:tc>
        <w:tc>
          <w:tcPr>
            <w:tcW w:w="1010"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42.86</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14.29</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64" w:hRule="atLeast"/>
          <w:jc w:val="center"/>
        </w:trPr>
        <w:tc>
          <w:tcPr>
            <w:tcW w:w="3170" w:type="dxa"/>
            <w:vMerge w:val="restart"/>
            <w:shd w:val="clear" w:color="auto" w:fill="DAEEF3" w:themeFill="accent5" w:themeFillTint="33"/>
            <w:vAlign w:val="center"/>
          </w:tcPr>
          <w:p>
            <w:pPr>
              <w:widowControl/>
              <w:jc w:val="left"/>
              <w:rPr>
                <w:rFonts w:ascii="宋体" w:hAnsi="宋体" w:cs="宋体"/>
                <w:b/>
                <w:bCs/>
                <w:color w:val="000000"/>
                <w:kern w:val="0"/>
                <w:sz w:val="21"/>
                <w:szCs w:val="21"/>
              </w:rPr>
            </w:pPr>
            <w:r>
              <w:rPr>
                <w:rFonts w:hint="eastAsia" w:ascii="宋体" w:hAnsi="宋体" w:cs="宋体"/>
                <w:b/>
                <w:bCs/>
                <w:color w:val="000000"/>
                <w:kern w:val="0"/>
                <w:sz w:val="21"/>
                <w:szCs w:val="21"/>
              </w:rPr>
              <w:t>戏剧影视美术设计</w:t>
            </w:r>
            <w:r>
              <w:rPr>
                <w:rFonts w:ascii="宋体" w:hAnsi="宋体" w:cs="宋体"/>
                <w:b/>
                <w:bCs/>
                <w:color w:val="000000"/>
                <w:kern w:val="0"/>
                <w:sz w:val="21"/>
                <w:szCs w:val="21"/>
              </w:rPr>
              <w:t>(舞台化装)</w:t>
            </w:r>
          </w:p>
        </w:tc>
        <w:tc>
          <w:tcPr>
            <w:tcW w:w="1147" w:type="dxa"/>
            <w:shd w:val="clear" w:color="auto" w:fill="DAEEF3" w:themeFill="accent5" w:themeFillTint="33"/>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最终落实</w:t>
            </w:r>
          </w:p>
        </w:tc>
        <w:tc>
          <w:tcPr>
            <w:tcW w:w="758"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12.50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0"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50.00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37.50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64" w:hRule="atLeast"/>
          <w:jc w:val="center"/>
        </w:trPr>
        <w:tc>
          <w:tcPr>
            <w:tcW w:w="3170" w:type="dxa"/>
            <w:vMerge w:val="continue"/>
            <w:vAlign w:val="center"/>
          </w:tcPr>
          <w:p>
            <w:pPr>
              <w:widowControl/>
              <w:jc w:val="left"/>
              <w:rPr>
                <w:rFonts w:ascii="宋体" w:hAnsi="宋体" w:cs="宋体"/>
                <w:b/>
                <w:bCs/>
                <w:color w:val="000000"/>
                <w:kern w:val="0"/>
                <w:sz w:val="21"/>
                <w:szCs w:val="21"/>
              </w:rPr>
            </w:pPr>
          </w:p>
        </w:tc>
        <w:tc>
          <w:tcPr>
            <w:tcW w:w="1147" w:type="dxa"/>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期望首选</w:t>
            </w:r>
          </w:p>
        </w:tc>
        <w:tc>
          <w:tcPr>
            <w:tcW w:w="758"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12.50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12.50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0"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25.00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64" w:hRule="atLeast"/>
          <w:jc w:val="center"/>
        </w:trPr>
        <w:tc>
          <w:tcPr>
            <w:tcW w:w="3170" w:type="dxa"/>
            <w:vMerge w:val="restart"/>
            <w:shd w:val="clear" w:color="auto" w:fill="DAEEF3" w:themeFill="accent5" w:themeFillTint="33"/>
            <w:vAlign w:val="center"/>
          </w:tcPr>
          <w:p>
            <w:pPr>
              <w:widowControl/>
              <w:jc w:val="left"/>
              <w:rPr>
                <w:rFonts w:ascii="宋体" w:hAnsi="宋体" w:cs="宋体"/>
                <w:b/>
                <w:bCs/>
                <w:color w:val="000000"/>
                <w:kern w:val="0"/>
                <w:sz w:val="21"/>
                <w:szCs w:val="21"/>
              </w:rPr>
            </w:pPr>
            <w:r>
              <w:rPr>
                <w:rFonts w:hint="eastAsia" w:ascii="宋体" w:hAnsi="宋体" w:cs="宋体"/>
                <w:b/>
                <w:bCs/>
                <w:color w:val="000000"/>
                <w:kern w:val="0"/>
                <w:sz w:val="21"/>
                <w:szCs w:val="21"/>
              </w:rPr>
              <w:t>戏剧影视美术设计</w:t>
            </w:r>
            <w:r>
              <w:rPr>
                <w:rFonts w:ascii="宋体" w:hAnsi="宋体" w:cs="宋体"/>
                <w:b/>
                <w:bCs/>
                <w:color w:val="000000"/>
                <w:kern w:val="0"/>
                <w:sz w:val="21"/>
                <w:szCs w:val="21"/>
              </w:rPr>
              <w:t>(舞台技术)</w:t>
            </w:r>
          </w:p>
        </w:tc>
        <w:tc>
          <w:tcPr>
            <w:tcW w:w="1147" w:type="dxa"/>
            <w:shd w:val="clear" w:color="auto" w:fill="DAEEF3" w:themeFill="accent5" w:themeFillTint="33"/>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最终落实</w:t>
            </w:r>
          </w:p>
        </w:tc>
        <w:tc>
          <w:tcPr>
            <w:tcW w:w="758"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11.11</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55.56</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11.11</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0"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11.11</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11.11</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64" w:hRule="atLeast"/>
          <w:jc w:val="center"/>
        </w:trPr>
        <w:tc>
          <w:tcPr>
            <w:tcW w:w="3170" w:type="dxa"/>
            <w:vMerge w:val="continue"/>
            <w:vAlign w:val="center"/>
          </w:tcPr>
          <w:p>
            <w:pPr>
              <w:widowControl/>
              <w:jc w:val="left"/>
              <w:rPr>
                <w:rFonts w:ascii="宋体" w:hAnsi="宋体" w:cs="宋体"/>
                <w:b/>
                <w:bCs/>
                <w:color w:val="000000"/>
                <w:kern w:val="0"/>
                <w:sz w:val="21"/>
                <w:szCs w:val="21"/>
              </w:rPr>
            </w:pPr>
          </w:p>
        </w:tc>
        <w:tc>
          <w:tcPr>
            <w:tcW w:w="1147" w:type="dxa"/>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期望首选</w:t>
            </w:r>
          </w:p>
        </w:tc>
        <w:tc>
          <w:tcPr>
            <w:tcW w:w="758"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11.11</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33.33</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11.11</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0"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22.22</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22.22</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64" w:hRule="atLeast"/>
          <w:jc w:val="center"/>
        </w:trPr>
        <w:tc>
          <w:tcPr>
            <w:tcW w:w="3170" w:type="dxa"/>
            <w:vMerge w:val="restart"/>
            <w:shd w:val="clear" w:color="auto" w:fill="DAEEF3" w:themeFill="accent5" w:themeFillTint="33"/>
            <w:vAlign w:val="center"/>
          </w:tcPr>
          <w:p>
            <w:pPr>
              <w:widowControl/>
              <w:jc w:val="left"/>
              <w:rPr>
                <w:rFonts w:ascii="宋体" w:hAnsi="宋体" w:cs="宋体"/>
                <w:b/>
                <w:bCs/>
                <w:color w:val="000000"/>
                <w:kern w:val="0"/>
                <w:sz w:val="21"/>
                <w:szCs w:val="21"/>
              </w:rPr>
            </w:pPr>
            <w:r>
              <w:rPr>
                <w:rFonts w:hint="eastAsia" w:ascii="宋体" w:hAnsi="宋体" w:cs="宋体"/>
                <w:b/>
                <w:bCs/>
                <w:color w:val="000000"/>
                <w:kern w:val="0"/>
                <w:sz w:val="21"/>
                <w:szCs w:val="21"/>
              </w:rPr>
              <w:t>戏剧影视文学</w:t>
            </w:r>
            <w:r>
              <w:rPr>
                <w:rFonts w:ascii="宋体" w:hAnsi="宋体" w:cs="宋体"/>
                <w:b/>
                <w:bCs/>
                <w:color w:val="000000"/>
                <w:kern w:val="0"/>
                <w:sz w:val="21"/>
                <w:szCs w:val="21"/>
              </w:rPr>
              <w:t>(电视剧创作)</w:t>
            </w:r>
          </w:p>
        </w:tc>
        <w:tc>
          <w:tcPr>
            <w:tcW w:w="1147" w:type="dxa"/>
            <w:shd w:val="clear" w:color="auto" w:fill="DAEEF3" w:themeFill="accent5" w:themeFillTint="33"/>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最终落实</w:t>
            </w:r>
          </w:p>
        </w:tc>
        <w:tc>
          <w:tcPr>
            <w:tcW w:w="758"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10.00</w:t>
            </w:r>
          </w:p>
        </w:tc>
        <w:tc>
          <w:tcPr>
            <w:tcW w:w="1010"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60.00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64" w:hRule="atLeast"/>
          <w:jc w:val="center"/>
        </w:trPr>
        <w:tc>
          <w:tcPr>
            <w:tcW w:w="3170" w:type="dxa"/>
            <w:vMerge w:val="continue"/>
            <w:vAlign w:val="center"/>
          </w:tcPr>
          <w:p>
            <w:pPr>
              <w:widowControl/>
              <w:jc w:val="left"/>
              <w:rPr>
                <w:rFonts w:ascii="宋体" w:hAnsi="宋体" w:cs="宋体"/>
                <w:b/>
                <w:bCs/>
                <w:color w:val="000000"/>
                <w:kern w:val="0"/>
                <w:sz w:val="21"/>
                <w:szCs w:val="21"/>
              </w:rPr>
            </w:pPr>
          </w:p>
        </w:tc>
        <w:tc>
          <w:tcPr>
            <w:tcW w:w="1147" w:type="dxa"/>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期望首选</w:t>
            </w:r>
          </w:p>
        </w:tc>
        <w:tc>
          <w:tcPr>
            <w:tcW w:w="758"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20.00</w:t>
            </w:r>
          </w:p>
        </w:tc>
        <w:tc>
          <w:tcPr>
            <w:tcW w:w="1010"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20.00</w:t>
            </w:r>
          </w:p>
        </w:tc>
      </w:tr>
    </w:tbl>
    <w:p/>
    <w:p>
      <w:pPr>
        <w:pStyle w:val="67"/>
        <w:spacing w:before="156" w:after="156"/>
        <w:ind w:left="240"/>
      </w:pPr>
      <w:bookmarkStart w:id="191" w:name="_Toc486857494"/>
      <w:r>
        <w:t>4</w:t>
      </w:r>
      <w:r>
        <w:rPr>
          <w:rFonts w:hint="eastAsia"/>
        </w:rPr>
        <w:t>.就业行业</w:t>
      </w:r>
      <w:bookmarkEnd w:id="191"/>
    </w:p>
    <w:p>
      <w:pPr>
        <w:pStyle w:val="123"/>
        <w:ind w:firstLine="480"/>
      </w:pPr>
      <w:bookmarkStart w:id="192" w:name="PO_32241"/>
      <w:bookmarkEnd w:id="192"/>
      <w:r>
        <w:rPr>
          <w:rFonts w:hint="eastAsia"/>
        </w:rPr>
        <w:t>总体而言，本科生最终落实主要集中在文化、体育和娱乐业（82.12%）。具体分布可参考下图。</w:t>
      </w:r>
    </w:p>
    <w:p>
      <w:pPr>
        <w:jc w:val="center"/>
      </w:pPr>
      <w:bookmarkStart w:id="193" w:name="PO_32242"/>
      <w:bookmarkEnd w:id="193"/>
      <w:r>
        <w:drawing>
          <wp:inline distT="0" distB="0" distL="0" distR="0">
            <wp:extent cx="5440045" cy="2879090"/>
            <wp:effectExtent l="19050" t="0" r="27295" b="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107"/>
        <w:spacing w:before="156" w:after="312"/>
      </w:pPr>
      <w:r>
        <w:rPr>
          <w:rFonts w:hint="eastAsia"/>
        </w:rPr>
        <w:t>期望首选与最终落实就业行业</w:t>
      </w:r>
    </w:p>
    <w:p>
      <w:pPr>
        <w:pStyle w:val="123"/>
        <w:ind w:firstLine="482"/>
      </w:pPr>
      <w:r>
        <w:rPr>
          <w:rFonts w:hint="eastAsia"/>
          <w:b/>
        </w:rPr>
        <w:t>就专业而言</w:t>
      </w:r>
      <w:r>
        <w:rPr>
          <w:rFonts w:hint="eastAsia"/>
        </w:rPr>
        <w:t>，</w:t>
      </w:r>
      <w:bookmarkStart w:id="194" w:name="PO_32244"/>
      <w:bookmarkEnd w:id="194"/>
      <w:r>
        <w:rPr>
          <w:rFonts w:hint="eastAsia"/>
        </w:rPr>
        <w:t>本科生最终落实在文化、体育和娱乐业比例较高的专业有：导演（演出制作）、戏剧学(戏剧史论与批评)和戏剧影视文学(电视剧创作)。</w:t>
      </w:r>
    </w:p>
    <w:p>
      <w:bookmarkStart w:id="195" w:name="PO_32245"/>
      <w:bookmarkEnd w:id="195"/>
    </w:p>
    <w:p>
      <w:pPr>
        <w:pStyle w:val="55"/>
        <w:spacing w:before="312" w:after="156"/>
      </w:pPr>
      <w:bookmarkStart w:id="196" w:name="PO_32246"/>
      <w:bookmarkEnd w:id="196"/>
      <w:r>
        <w:rPr>
          <w:rFonts w:hint="eastAsia"/>
        </w:rPr>
        <w:t>不同专业本科生期望首选与最终落实就业行业（%）</w:t>
      </w:r>
    </w:p>
    <w:tbl>
      <w:tblPr>
        <w:tblStyle w:val="125"/>
        <w:tblW w:w="10672" w:type="dxa"/>
        <w:jc w:val="center"/>
        <w:tblInd w:w="-383"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2127"/>
        <w:gridCol w:w="1152"/>
        <w:gridCol w:w="756"/>
        <w:gridCol w:w="720"/>
        <w:gridCol w:w="756"/>
        <w:gridCol w:w="756"/>
        <w:gridCol w:w="636"/>
        <w:gridCol w:w="636"/>
        <w:gridCol w:w="756"/>
        <w:gridCol w:w="876"/>
        <w:gridCol w:w="745"/>
        <w:gridCol w:w="756"/>
      </w:tblGrid>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664" w:hRule="atLeast"/>
          <w:jc w:val="center"/>
        </w:trPr>
        <w:tc>
          <w:tcPr>
            <w:tcW w:w="2127" w:type="dxa"/>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000000"/>
                <w:kern w:val="0"/>
                <w:sz w:val="21"/>
                <w:szCs w:val="21"/>
              </w:rPr>
            </w:pPr>
            <w:r>
              <w:rPr>
                <w:rFonts w:hint="eastAsia" w:ascii="宋体" w:hAnsi="宋体" w:cs="宋体"/>
                <w:b/>
                <w:bCs/>
                <w:color w:val="FFFFFF" w:themeColor="background1"/>
                <w:kern w:val="0"/>
                <w:sz w:val="21"/>
                <w:szCs w:val="21"/>
              </w:rPr>
              <w:t>专业</w:t>
            </w:r>
          </w:p>
        </w:tc>
        <w:tc>
          <w:tcPr>
            <w:tcW w:w="1152"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类别</w:t>
            </w:r>
          </w:p>
        </w:tc>
        <w:tc>
          <w:tcPr>
            <w:tcW w:w="756"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农、林、牧、渔业</w:t>
            </w:r>
          </w:p>
        </w:tc>
        <w:tc>
          <w:tcPr>
            <w:tcW w:w="720"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制造业</w:t>
            </w:r>
          </w:p>
        </w:tc>
        <w:tc>
          <w:tcPr>
            <w:tcW w:w="756"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采矿</w:t>
            </w:r>
            <w:r>
              <w:rPr>
                <w:rFonts w:cs="Times New Roman"/>
                <w:b/>
                <w:bCs/>
                <w:color w:val="FFFFFF" w:themeColor="background1"/>
                <w:kern w:val="0"/>
                <w:sz w:val="21"/>
                <w:szCs w:val="21"/>
              </w:rPr>
              <w:t>/</w:t>
            </w:r>
            <w:r>
              <w:rPr>
                <w:rFonts w:ascii="宋体" w:hAnsi="宋体" w:cs="宋体"/>
                <w:b/>
                <w:bCs/>
                <w:color w:val="FFFFFF" w:themeColor="background1"/>
                <w:kern w:val="0"/>
                <w:sz w:val="21"/>
                <w:szCs w:val="21"/>
              </w:rPr>
              <w:t>建筑</w:t>
            </w:r>
            <w:r>
              <w:rPr>
                <w:rFonts w:cs="Times New Roman"/>
                <w:b/>
                <w:bCs/>
                <w:color w:val="FFFFFF" w:themeColor="background1"/>
                <w:kern w:val="0"/>
                <w:sz w:val="21"/>
                <w:szCs w:val="21"/>
              </w:rPr>
              <w:t>/</w:t>
            </w:r>
            <w:r>
              <w:rPr>
                <w:rFonts w:ascii="宋体" w:hAnsi="宋体" w:cs="宋体"/>
                <w:b/>
                <w:bCs/>
                <w:color w:val="FFFFFF" w:themeColor="background1"/>
                <w:kern w:val="0"/>
                <w:sz w:val="21"/>
                <w:szCs w:val="21"/>
              </w:rPr>
              <w:t>水电气业</w:t>
            </w:r>
          </w:p>
        </w:tc>
        <w:tc>
          <w:tcPr>
            <w:tcW w:w="756"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商业服务业</w:t>
            </w:r>
          </w:p>
        </w:tc>
        <w:tc>
          <w:tcPr>
            <w:tcW w:w="636"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信息产业</w:t>
            </w:r>
          </w:p>
        </w:tc>
        <w:tc>
          <w:tcPr>
            <w:tcW w:w="636"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金融地产业</w:t>
            </w:r>
          </w:p>
        </w:tc>
        <w:tc>
          <w:tcPr>
            <w:tcW w:w="756"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教育及科研行业</w:t>
            </w:r>
          </w:p>
        </w:tc>
        <w:tc>
          <w:tcPr>
            <w:tcW w:w="876"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文化、体育和娱乐业</w:t>
            </w:r>
          </w:p>
        </w:tc>
        <w:tc>
          <w:tcPr>
            <w:tcW w:w="745"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社会服务与管理行业</w:t>
            </w:r>
          </w:p>
        </w:tc>
        <w:tc>
          <w:tcPr>
            <w:tcW w:w="756" w:type="dxa"/>
            <w:tcBorders>
              <w:top w:val="single" w:color="4BACC6" w:themeColor="accent5" w:sz="4" w:space="0"/>
              <w:bottom w:val="single" w:color="4BACC6" w:themeColor="accent5" w:sz="4" w:space="0"/>
              <w:right w:val="single" w:color="4BACC6" w:themeColor="accent5" w:sz="4" w:space="0"/>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其他行业</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8" w:hRule="atLeast"/>
          <w:jc w:val="center"/>
        </w:trPr>
        <w:tc>
          <w:tcPr>
            <w:tcW w:w="2127" w:type="dxa"/>
            <w:vMerge w:val="restart"/>
            <w:shd w:val="clear" w:color="auto" w:fill="DAEEF3" w:themeFill="accent5" w:themeFillTint="33"/>
            <w:vAlign w:val="center"/>
          </w:tcPr>
          <w:p>
            <w:pPr>
              <w:widowControl/>
              <w:jc w:val="left"/>
              <w:rPr>
                <w:rFonts w:ascii="宋体" w:hAnsi="宋体" w:cs="宋体"/>
                <w:b/>
                <w:bCs/>
                <w:color w:val="000000"/>
                <w:kern w:val="0"/>
                <w:sz w:val="21"/>
                <w:szCs w:val="21"/>
              </w:rPr>
            </w:pPr>
            <w:r>
              <w:rPr>
                <w:rFonts w:hint="eastAsia" w:ascii="宋体" w:hAnsi="宋体" w:cs="宋体"/>
                <w:b/>
                <w:bCs/>
                <w:color w:val="000000"/>
                <w:kern w:val="0"/>
                <w:sz w:val="21"/>
                <w:szCs w:val="21"/>
              </w:rPr>
              <w:t>表演</w:t>
            </w:r>
          </w:p>
        </w:tc>
        <w:tc>
          <w:tcPr>
            <w:tcW w:w="1152" w:type="dxa"/>
            <w:shd w:val="clear" w:color="auto" w:fill="DAEEF3" w:themeFill="accent5" w:themeFillTint="33"/>
            <w:vAlign w:val="center"/>
          </w:tcPr>
          <w:p>
            <w:pPr>
              <w:widowControl/>
              <w:jc w:val="center"/>
              <w:rPr>
                <w:rFonts w:cs="宋体"/>
                <w:color w:val="000000"/>
                <w:kern w:val="0"/>
                <w:sz w:val="21"/>
                <w:szCs w:val="21"/>
              </w:rPr>
            </w:pPr>
            <w:r>
              <w:rPr>
                <w:rFonts w:hint="eastAsia" w:cs="宋体"/>
                <w:color w:val="000000"/>
                <w:kern w:val="0"/>
                <w:sz w:val="21"/>
                <w:szCs w:val="21"/>
              </w:rPr>
              <w:t>最终落实</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20"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87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37.50</w:t>
            </w:r>
          </w:p>
        </w:tc>
        <w:tc>
          <w:tcPr>
            <w:tcW w:w="745"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62.50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8" w:hRule="atLeast"/>
          <w:jc w:val="center"/>
        </w:trPr>
        <w:tc>
          <w:tcPr>
            <w:tcW w:w="2127" w:type="dxa"/>
            <w:vMerge w:val="continue"/>
            <w:vAlign w:val="center"/>
          </w:tcPr>
          <w:p>
            <w:pPr>
              <w:widowControl/>
              <w:jc w:val="left"/>
              <w:rPr>
                <w:rFonts w:ascii="宋体" w:hAnsi="宋体" w:cs="宋体"/>
                <w:b/>
                <w:bCs/>
                <w:color w:val="000000"/>
                <w:kern w:val="0"/>
                <w:sz w:val="21"/>
                <w:szCs w:val="21"/>
              </w:rPr>
            </w:pPr>
          </w:p>
        </w:tc>
        <w:tc>
          <w:tcPr>
            <w:tcW w:w="1152" w:type="dxa"/>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期望首选</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20"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87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37.50</w:t>
            </w:r>
          </w:p>
        </w:tc>
        <w:tc>
          <w:tcPr>
            <w:tcW w:w="745"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62.50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8" w:hRule="atLeast"/>
          <w:jc w:val="center"/>
        </w:trPr>
        <w:tc>
          <w:tcPr>
            <w:tcW w:w="2127" w:type="dxa"/>
            <w:vMerge w:val="restart"/>
            <w:shd w:val="clear" w:color="auto" w:fill="DAEEF3" w:themeFill="accent5" w:themeFillTint="33"/>
            <w:vAlign w:val="center"/>
          </w:tcPr>
          <w:p>
            <w:pPr>
              <w:widowControl/>
              <w:jc w:val="left"/>
              <w:rPr>
                <w:rFonts w:ascii="宋体" w:hAnsi="宋体" w:cs="宋体"/>
                <w:b/>
                <w:bCs/>
                <w:color w:val="000000"/>
                <w:kern w:val="0"/>
                <w:sz w:val="21"/>
                <w:szCs w:val="21"/>
              </w:rPr>
            </w:pPr>
            <w:r>
              <w:rPr>
                <w:rFonts w:hint="eastAsia" w:ascii="宋体" w:hAnsi="宋体" w:cs="宋体"/>
                <w:b/>
                <w:bCs/>
                <w:color w:val="000000"/>
                <w:kern w:val="0"/>
                <w:sz w:val="21"/>
                <w:szCs w:val="21"/>
              </w:rPr>
              <w:t>表演（戏剧影视表演）</w:t>
            </w:r>
          </w:p>
        </w:tc>
        <w:tc>
          <w:tcPr>
            <w:tcW w:w="1152" w:type="dxa"/>
            <w:shd w:val="clear" w:color="auto" w:fill="DAEEF3" w:themeFill="accent5" w:themeFillTint="33"/>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最终落实</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20"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87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87.10</w:t>
            </w:r>
          </w:p>
        </w:tc>
        <w:tc>
          <w:tcPr>
            <w:tcW w:w="745"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12.90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8" w:hRule="atLeast"/>
          <w:jc w:val="center"/>
        </w:trPr>
        <w:tc>
          <w:tcPr>
            <w:tcW w:w="2127" w:type="dxa"/>
            <w:vMerge w:val="continue"/>
            <w:vAlign w:val="center"/>
          </w:tcPr>
          <w:p>
            <w:pPr>
              <w:widowControl/>
              <w:jc w:val="left"/>
              <w:rPr>
                <w:rFonts w:ascii="宋体" w:hAnsi="宋体" w:cs="宋体"/>
                <w:b/>
                <w:bCs/>
                <w:color w:val="000000"/>
                <w:kern w:val="0"/>
                <w:sz w:val="21"/>
                <w:szCs w:val="21"/>
              </w:rPr>
            </w:pPr>
          </w:p>
        </w:tc>
        <w:tc>
          <w:tcPr>
            <w:tcW w:w="1152" w:type="dxa"/>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期望首选</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20"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3.23</w:t>
            </w:r>
          </w:p>
        </w:tc>
        <w:tc>
          <w:tcPr>
            <w:tcW w:w="87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80.65</w:t>
            </w:r>
          </w:p>
        </w:tc>
        <w:tc>
          <w:tcPr>
            <w:tcW w:w="745"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16.13</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8" w:hRule="atLeast"/>
          <w:jc w:val="center"/>
        </w:trPr>
        <w:tc>
          <w:tcPr>
            <w:tcW w:w="2127" w:type="dxa"/>
            <w:vMerge w:val="restart"/>
            <w:shd w:val="clear" w:color="auto" w:fill="DAEEF3" w:themeFill="accent5" w:themeFillTint="33"/>
            <w:vAlign w:val="center"/>
          </w:tcPr>
          <w:p>
            <w:pPr>
              <w:widowControl/>
              <w:jc w:val="left"/>
              <w:rPr>
                <w:rFonts w:ascii="宋体" w:hAnsi="宋体" w:cs="宋体"/>
                <w:b/>
                <w:bCs/>
                <w:color w:val="000000"/>
                <w:kern w:val="0"/>
                <w:sz w:val="21"/>
                <w:szCs w:val="21"/>
              </w:rPr>
            </w:pPr>
            <w:r>
              <w:rPr>
                <w:rFonts w:hint="eastAsia" w:ascii="宋体" w:hAnsi="宋体" w:cs="宋体"/>
                <w:b/>
                <w:bCs/>
                <w:color w:val="000000"/>
                <w:kern w:val="0"/>
                <w:sz w:val="21"/>
                <w:szCs w:val="21"/>
              </w:rPr>
              <w:t>表演（音乐剧）</w:t>
            </w:r>
          </w:p>
        </w:tc>
        <w:tc>
          <w:tcPr>
            <w:tcW w:w="1152" w:type="dxa"/>
            <w:shd w:val="clear" w:color="auto" w:fill="DAEEF3" w:themeFill="accent5" w:themeFillTint="33"/>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最终落实</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20"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5.26</w:t>
            </w:r>
          </w:p>
        </w:tc>
        <w:tc>
          <w:tcPr>
            <w:tcW w:w="63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87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89.47</w:t>
            </w:r>
          </w:p>
        </w:tc>
        <w:tc>
          <w:tcPr>
            <w:tcW w:w="745"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5.26</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8" w:hRule="atLeast"/>
          <w:jc w:val="center"/>
        </w:trPr>
        <w:tc>
          <w:tcPr>
            <w:tcW w:w="2127" w:type="dxa"/>
            <w:vMerge w:val="continue"/>
            <w:vAlign w:val="center"/>
          </w:tcPr>
          <w:p>
            <w:pPr>
              <w:widowControl/>
              <w:jc w:val="left"/>
              <w:rPr>
                <w:rFonts w:ascii="宋体" w:hAnsi="宋体" w:cs="宋体"/>
                <w:b/>
                <w:bCs/>
                <w:color w:val="000000"/>
                <w:kern w:val="0"/>
                <w:sz w:val="21"/>
                <w:szCs w:val="21"/>
              </w:rPr>
            </w:pPr>
          </w:p>
        </w:tc>
        <w:tc>
          <w:tcPr>
            <w:tcW w:w="1152" w:type="dxa"/>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期望首选</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20"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5.26</w:t>
            </w:r>
          </w:p>
        </w:tc>
        <w:tc>
          <w:tcPr>
            <w:tcW w:w="63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87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84.21</w:t>
            </w:r>
          </w:p>
        </w:tc>
        <w:tc>
          <w:tcPr>
            <w:tcW w:w="745"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10.53</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8" w:hRule="atLeast"/>
          <w:jc w:val="center"/>
        </w:trPr>
        <w:tc>
          <w:tcPr>
            <w:tcW w:w="2127" w:type="dxa"/>
            <w:vMerge w:val="restart"/>
            <w:shd w:val="clear" w:color="auto" w:fill="DAEEF3" w:themeFill="accent5" w:themeFillTint="33"/>
            <w:vAlign w:val="center"/>
          </w:tcPr>
          <w:p>
            <w:pPr>
              <w:widowControl/>
              <w:jc w:val="left"/>
              <w:rPr>
                <w:rFonts w:ascii="宋体" w:hAnsi="宋体" w:cs="宋体"/>
                <w:b/>
                <w:bCs/>
                <w:color w:val="000000"/>
                <w:kern w:val="0"/>
                <w:sz w:val="21"/>
                <w:szCs w:val="21"/>
              </w:rPr>
            </w:pPr>
            <w:r>
              <w:rPr>
                <w:rFonts w:hint="eastAsia" w:ascii="宋体" w:hAnsi="宋体" w:cs="宋体"/>
                <w:b/>
                <w:bCs/>
                <w:color w:val="000000"/>
                <w:kern w:val="0"/>
                <w:sz w:val="21"/>
                <w:szCs w:val="21"/>
              </w:rPr>
              <w:t>导演（演出制作）</w:t>
            </w:r>
          </w:p>
        </w:tc>
        <w:tc>
          <w:tcPr>
            <w:tcW w:w="1152" w:type="dxa"/>
            <w:shd w:val="clear" w:color="auto" w:fill="DAEEF3" w:themeFill="accent5" w:themeFillTint="33"/>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最终落实</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20"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87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100.00</w:t>
            </w:r>
          </w:p>
        </w:tc>
        <w:tc>
          <w:tcPr>
            <w:tcW w:w="745"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8" w:hRule="atLeast"/>
          <w:jc w:val="center"/>
        </w:trPr>
        <w:tc>
          <w:tcPr>
            <w:tcW w:w="2127" w:type="dxa"/>
            <w:vMerge w:val="continue"/>
            <w:vAlign w:val="center"/>
          </w:tcPr>
          <w:p>
            <w:pPr>
              <w:widowControl/>
              <w:jc w:val="left"/>
              <w:rPr>
                <w:rFonts w:ascii="宋体" w:hAnsi="宋体" w:cs="宋体"/>
                <w:b/>
                <w:bCs/>
                <w:color w:val="000000"/>
                <w:kern w:val="0"/>
                <w:sz w:val="21"/>
                <w:szCs w:val="21"/>
              </w:rPr>
            </w:pPr>
          </w:p>
        </w:tc>
        <w:tc>
          <w:tcPr>
            <w:tcW w:w="1152" w:type="dxa"/>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期望首选</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20"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87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100.00</w:t>
            </w:r>
          </w:p>
        </w:tc>
        <w:tc>
          <w:tcPr>
            <w:tcW w:w="745"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8" w:hRule="atLeast"/>
          <w:jc w:val="center"/>
        </w:trPr>
        <w:tc>
          <w:tcPr>
            <w:tcW w:w="2127" w:type="dxa"/>
            <w:vMerge w:val="restart"/>
            <w:shd w:val="clear" w:color="auto" w:fill="DAEEF3" w:themeFill="accent5" w:themeFillTint="33"/>
            <w:vAlign w:val="center"/>
          </w:tcPr>
          <w:p>
            <w:pPr>
              <w:widowControl/>
              <w:jc w:val="left"/>
              <w:rPr>
                <w:rFonts w:ascii="宋体" w:hAnsi="宋体" w:cs="宋体"/>
                <w:b/>
                <w:bCs/>
                <w:color w:val="000000"/>
                <w:kern w:val="0"/>
                <w:sz w:val="21"/>
                <w:szCs w:val="21"/>
              </w:rPr>
            </w:pPr>
            <w:r>
              <w:rPr>
                <w:rFonts w:hint="eastAsia" w:ascii="宋体" w:hAnsi="宋体" w:cs="宋体"/>
                <w:b/>
                <w:bCs/>
                <w:color w:val="000000"/>
                <w:kern w:val="0"/>
                <w:sz w:val="21"/>
                <w:szCs w:val="21"/>
              </w:rPr>
              <w:t>导演（影视编导）</w:t>
            </w:r>
          </w:p>
        </w:tc>
        <w:tc>
          <w:tcPr>
            <w:tcW w:w="1152" w:type="dxa"/>
            <w:shd w:val="clear" w:color="auto" w:fill="DAEEF3" w:themeFill="accent5" w:themeFillTint="33"/>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最终落实</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20"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87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66.67</w:t>
            </w:r>
          </w:p>
        </w:tc>
        <w:tc>
          <w:tcPr>
            <w:tcW w:w="745"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33.33</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8" w:hRule="atLeast"/>
          <w:jc w:val="center"/>
        </w:trPr>
        <w:tc>
          <w:tcPr>
            <w:tcW w:w="2127" w:type="dxa"/>
            <w:vMerge w:val="continue"/>
            <w:vAlign w:val="center"/>
          </w:tcPr>
          <w:p>
            <w:pPr>
              <w:widowControl/>
              <w:jc w:val="left"/>
              <w:rPr>
                <w:rFonts w:ascii="宋体" w:hAnsi="宋体" w:cs="宋体"/>
                <w:b/>
                <w:bCs/>
                <w:color w:val="000000"/>
                <w:kern w:val="0"/>
                <w:sz w:val="21"/>
                <w:szCs w:val="21"/>
              </w:rPr>
            </w:pPr>
          </w:p>
        </w:tc>
        <w:tc>
          <w:tcPr>
            <w:tcW w:w="1152" w:type="dxa"/>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期望首选</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20"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87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66.67</w:t>
            </w:r>
          </w:p>
        </w:tc>
        <w:tc>
          <w:tcPr>
            <w:tcW w:w="745"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33.33</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8" w:hRule="atLeast"/>
          <w:jc w:val="center"/>
        </w:trPr>
        <w:tc>
          <w:tcPr>
            <w:tcW w:w="2127" w:type="dxa"/>
            <w:vMerge w:val="restart"/>
            <w:shd w:val="clear" w:color="auto" w:fill="DAEEF3" w:themeFill="accent5" w:themeFillTint="33"/>
            <w:vAlign w:val="center"/>
          </w:tcPr>
          <w:p>
            <w:pPr>
              <w:widowControl/>
              <w:jc w:val="left"/>
              <w:rPr>
                <w:rFonts w:ascii="宋体" w:hAnsi="宋体" w:cs="宋体"/>
                <w:b/>
                <w:bCs/>
                <w:color w:val="000000"/>
                <w:kern w:val="0"/>
                <w:sz w:val="21"/>
                <w:szCs w:val="21"/>
              </w:rPr>
            </w:pPr>
            <w:r>
              <w:rPr>
                <w:rFonts w:hint="eastAsia" w:ascii="宋体" w:hAnsi="宋体" w:cs="宋体"/>
                <w:b/>
                <w:bCs/>
                <w:color w:val="000000"/>
                <w:kern w:val="0"/>
                <w:sz w:val="21"/>
                <w:szCs w:val="21"/>
              </w:rPr>
              <w:t>戏剧学</w:t>
            </w:r>
            <w:r>
              <w:rPr>
                <w:rFonts w:ascii="宋体" w:hAnsi="宋体" w:cs="宋体"/>
                <w:b/>
                <w:bCs/>
                <w:color w:val="000000"/>
                <w:kern w:val="0"/>
                <w:sz w:val="21"/>
                <w:szCs w:val="21"/>
              </w:rPr>
              <w:t>(戏剧史论与批评)</w:t>
            </w:r>
          </w:p>
        </w:tc>
        <w:tc>
          <w:tcPr>
            <w:tcW w:w="1152" w:type="dxa"/>
            <w:shd w:val="clear" w:color="auto" w:fill="DAEEF3" w:themeFill="accent5" w:themeFillTint="33"/>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最终落实</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20"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87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100.00</w:t>
            </w:r>
          </w:p>
        </w:tc>
        <w:tc>
          <w:tcPr>
            <w:tcW w:w="745"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8" w:hRule="atLeast"/>
          <w:jc w:val="center"/>
        </w:trPr>
        <w:tc>
          <w:tcPr>
            <w:tcW w:w="2127" w:type="dxa"/>
            <w:vMerge w:val="continue"/>
            <w:vAlign w:val="center"/>
          </w:tcPr>
          <w:p>
            <w:pPr>
              <w:widowControl/>
              <w:jc w:val="left"/>
              <w:rPr>
                <w:rFonts w:ascii="宋体" w:hAnsi="宋体" w:cs="宋体"/>
                <w:b/>
                <w:bCs/>
                <w:color w:val="000000"/>
                <w:kern w:val="0"/>
                <w:sz w:val="21"/>
                <w:szCs w:val="21"/>
              </w:rPr>
            </w:pPr>
          </w:p>
        </w:tc>
        <w:tc>
          <w:tcPr>
            <w:tcW w:w="1152" w:type="dxa"/>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期望首选</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20"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87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100.00</w:t>
            </w:r>
          </w:p>
        </w:tc>
        <w:tc>
          <w:tcPr>
            <w:tcW w:w="745"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8" w:hRule="atLeast"/>
          <w:jc w:val="center"/>
        </w:trPr>
        <w:tc>
          <w:tcPr>
            <w:tcW w:w="2127" w:type="dxa"/>
            <w:vMerge w:val="restart"/>
            <w:shd w:val="clear" w:color="auto" w:fill="DAEEF3" w:themeFill="accent5" w:themeFillTint="33"/>
            <w:vAlign w:val="center"/>
          </w:tcPr>
          <w:p>
            <w:pPr>
              <w:widowControl/>
              <w:jc w:val="left"/>
              <w:rPr>
                <w:rFonts w:ascii="宋体" w:hAnsi="宋体" w:cs="宋体"/>
                <w:b/>
                <w:bCs/>
                <w:color w:val="000000"/>
                <w:kern w:val="0"/>
                <w:sz w:val="21"/>
                <w:szCs w:val="21"/>
              </w:rPr>
            </w:pPr>
            <w:r>
              <w:rPr>
                <w:rFonts w:hint="eastAsia" w:ascii="宋体" w:hAnsi="宋体" w:cs="宋体"/>
                <w:b/>
                <w:bCs/>
                <w:color w:val="000000"/>
                <w:kern w:val="0"/>
                <w:sz w:val="21"/>
                <w:szCs w:val="21"/>
              </w:rPr>
              <w:t>戏剧影视导演</w:t>
            </w:r>
          </w:p>
        </w:tc>
        <w:tc>
          <w:tcPr>
            <w:tcW w:w="1152" w:type="dxa"/>
            <w:shd w:val="clear" w:color="auto" w:fill="DAEEF3" w:themeFill="accent5" w:themeFillTint="33"/>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最终落实</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20"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5.41</w:t>
            </w:r>
          </w:p>
        </w:tc>
        <w:tc>
          <w:tcPr>
            <w:tcW w:w="63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2.70</w:t>
            </w:r>
          </w:p>
        </w:tc>
        <w:tc>
          <w:tcPr>
            <w:tcW w:w="63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87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86.49</w:t>
            </w:r>
          </w:p>
        </w:tc>
        <w:tc>
          <w:tcPr>
            <w:tcW w:w="745"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2.70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2.70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8" w:hRule="atLeast"/>
          <w:jc w:val="center"/>
        </w:trPr>
        <w:tc>
          <w:tcPr>
            <w:tcW w:w="2127" w:type="dxa"/>
            <w:vMerge w:val="continue"/>
            <w:vAlign w:val="center"/>
          </w:tcPr>
          <w:p>
            <w:pPr>
              <w:widowControl/>
              <w:jc w:val="left"/>
              <w:rPr>
                <w:rFonts w:ascii="宋体" w:hAnsi="宋体" w:cs="宋体"/>
                <w:b/>
                <w:bCs/>
                <w:color w:val="000000"/>
                <w:kern w:val="0"/>
                <w:sz w:val="21"/>
                <w:szCs w:val="21"/>
              </w:rPr>
            </w:pPr>
          </w:p>
        </w:tc>
        <w:tc>
          <w:tcPr>
            <w:tcW w:w="1152" w:type="dxa"/>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期望首选</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20"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2.70</w:t>
            </w:r>
          </w:p>
        </w:tc>
        <w:tc>
          <w:tcPr>
            <w:tcW w:w="63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2.70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87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86.49</w:t>
            </w:r>
          </w:p>
        </w:tc>
        <w:tc>
          <w:tcPr>
            <w:tcW w:w="745"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2.70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5.41</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8" w:hRule="atLeast"/>
          <w:jc w:val="center"/>
        </w:trPr>
        <w:tc>
          <w:tcPr>
            <w:tcW w:w="2127" w:type="dxa"/>
            <w:vMerge w:val="restart"/>
            <w:shd w:val="clear" w:color="auto" w:fill="DAEEF3" w:themeFill="accent5" w:themeFillTint="33"/>
            <w:vAlign w:val="center"/>
          </w:tcPr>
          <w:p>
            <w:pPr>
              <w:widowControl/>
              <w:jc w:val="left"/>
              <w:rPr>
                <w:rFonts w:ascii="宋体" w:hAnsi="宋体" w:cs="宋体"/>
                <w:b/>
                <w:bCs/>
                <w:color w:val="000000"/>
                <w:kern w:val="0"/>
                <w:sz w:val="21"/>
                <w:szCs w:val="21"/>
              </w:rPr>
            </w:pPr>
            <w:r>
              <w:rPr>
                <w:rFonts w:hint="eastAsia" w:ascii="宋体" w:hAnsi="宋体" w:cs="宋体"/>
                <w:b/>
                <w:bCs/>
                <w:color w:val="000000"/>
                <w:kern w:val="0"/>
                <w:sz w:val="21"/>
                <w:szCs w:val="21"/>
              </w:rPr>
              <w:t>戏剧影视美术设计</w:t>
            </w:r>
            <w:r>
              <w:rPr>
                <w:rFonts w:ascii="宋体" w:hAnsi="宋体" w:cs="宋体"/>
                <w:b/>
                <w:bCs/>
                <w:color w:val="000000"/>
                <w:kern w:val="0"/>
                <w:sz w:val="21"/>
                <w:szCs w:val="21"/>
              </w:rPr>
              <w:t>(舞台灯光)</w:t>
            </w:r>
          </w:p>
        </w:tc>
        <w:tc>
          <w:tcPr>
            <w:tcW w:w="1152" w:type="dxa"/>
            <w:shd w:val="clear" w:color="auto" w:fill="DAEEF3" w:themeFill="accent5" w:themeFillTint="33"/>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最终落实</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20"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25.00</w:t>
            </w:r>
          </w:p>
        </w:tc>
        <w:tc>
          <w:tcPr>
            <w:tcW w:w="87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75.00</w:t>
            </w:r>
          </w:p>
        </w:tc>
        <w:tc>
          <w:tcPr>
            <w:tcW w:w="745"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8" w:hRule="atLeast"/>
          <w:jc w:val="center"/>
        </w:trPr>
        <w:tc>
          <w:tcPr>
            <w:tcW w:w="2127" w:type="dxa"/>
            <w:vMerge w:val="continue"/>
            <w:vAlign w:val="center"/>
          </w:tcPr>
          <w:p>
            <w:pPr>
              <w:widowControl/>
              <w:jc w:val="left"/>
              <w:rPr>
                <w:rFonts w:ascii="宋体" w:hAnsi="宋体" w:cs="宋体"/>
                <w:b/>
                <w:bCs/>
                <w:color w:val="000000"/>
                <w:kern w:val="0"/>
                <w:sz w:val="21"/>
                <w:szCs w:val="21"/>
              </w:rPr>
            </w:pPr>
          </w:p>
        </w:tc>
        <w:tc>
          <w:tcPr>
            <w:tcW w:w="1152" w:type="dxa"/>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期望首选</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20"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12.50</w:t>
            </w:r>
          </w:p>
        </w:tc>
        <w:tc>
          <w:tcPr>
            <w:tcW w:w="87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75.00</w:t>
            </w:r>
          </w:p>
        </w:tc>
        <w:tc>
          <w:tcPr>
            <w:tcW w:w="745"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12.50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8" w:hRule="atLeast"/>
          <w:jc w:val="center"/>
        </w:trPr>
        <w:tc>
          <w:tcPr>
            <w:tcW w:w="2127" w:type="dxa"/>
            <w:vMerge w:val="restart"/>
            <w:shd w:val="clear" w:color="auto" w:fill="DAEEF3" w:themeFill="accent5" w:themeFillTint="33"/>
            <w:vAlign w:val="center"/>
          </w:tcPr>
          <w:p>
            <w:pPr>
              <w:widowControl/>
              <w:jc w:val="left"/>
              <w:rPr>
                <w:rFonts w:ascii="宋体" w:hAnsi="宋体" w:cs="宋体"/>
                <w:b/>
                <w:bCs/>
                <w:color w:val="000000"/>
                <w:kern w:val="0"/>
                <w:sz w:val="21"/>
                <w:szCs w:val="21"/>
              </w:rPr>
            </w:pPr>
            <w:r>
              <w:rPr>
                <w:rFonts w:hint="eastAsia" w:ascii="宋体" w:hAnsi="宋体" w:cs="宋体"/>
                <w:b/>
                <w:bCs/>
                <w:color w:val="000000"/>
                <w:kern w:val="0"/>
                <w:sz w:val="21"/>
                <w:szCs w:val="21"/>
              </w:rPr>
              <w:t>戏剧影视美术设计</w:t>
            </w:r>
            <w:r>
              <w:rPr>
                <w:rFonts w:ascii="宋体" w:hAnsi="宋体" w:cs="宋体"/>
                <w:b/>
                <w:bCs/>
                <w:color w:val="000000"/>
                <w:kern w:val="0"/>
                <w:sz w:val="21"/>
                <w:szCs w:val="21"/>
              </w:rPr>
              <w:t>(舞台服装)</w:t>
            </w:r>
          </w:p>
        </w:tc>
        <w:tc>
          <w:tcPr>
            <w:tcW w:w="1152" w:type="dxa"/>
            <w:shd w:val="clear" w:color="auto" w:fill="DAEEF3" w:themeFill="accent5" w:themeFillTint="33"/>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最终落实</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20"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14.29</w:t>
            </w:r>
          </w:p>
        </w:tc>
        <w:tc>
          <w:tcPr>
            <w:tcW w:w="63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87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57.14</w:t>
            </w:r>
          </w:p>
        </w:tc>
        <w:tc>
          <w:tcPr>
            <w:tcW w:w="745"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28.57</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8" w:hRule="atLeast"/>
          <w:jc w:val="center"/>
        </w:trPr>
        <w:tc>
          <w:tcPr>
            <w:tcW w:w="2127" w:type="dxa"/>
            <w:vMerge w:val="continue"/>
            <w:vAlign w:val="center"/>
          </w:tcPr>
          <w:p>
            <w:pPr>
              <w:widowControl/>
              <w:jc w:val="left"/>
              <w:rPr>
                <w:rFonts w:ascii="宋体" w:hAnsi="宋体" w:cs="宋体"/>
                <w:b/>
                <w:bCs/>
                <w:color w:val="000000"/>
                <w:kern w:val="0"/>
                <w:sz w:val="21"/>
                <w:szCs w:val="21"/>
              </w:rPr>
            </w:pPr>
          </w:p>
        </w:tc>
        <w:tc>
          <w:tcPr>
            <w:tcW w:w="1152" w:type="dxa"/>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期望首选</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20"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14.29</w:t>
            </w:r>
          </w:p>
        </w:tc>
        <w:tc>
          <w:tcPr>
            <w:tcW w:w="63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87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57.14</w:t>
            </w:r>
          </w:p>
        </w:tc>
        <w:tc>
          <w:tcPr>
            <w:tcW w:w="745"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28.57</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8" w:hRule="atLeast"/>
          <w:jc w:val="center"/>
        </w:trPr>
        <w:tc>
          <w:tcPr>
            <w:tcW w:w="2127" w:type="dxa"/>
            <w:vMerge w:val="restart"/>
            <w:shd w:val="clear" w:color="auto" w:fill="DAEEF3" w:themeFill="accent5" w:themeFillTint="33"/>
            <w:vAlign w:val="center"/>
          </w:tcPr>
          <w:p>
            <w:pPr>
              <w:widowControl/>
              <w:jc w:val="left"/>
              <w:rPr>
                <w:rFonts w:ascii="宋体" w:hAnsi="宋体" w:cs="宋体"/>
                <w:b/>
                <w:bCs/>
                <w:color w:val="000000"/>
                <w:kern w:val="0"/>
                <w:sz w:val="21"/>
                <w:szCs w:val="21"/>
              </w:rPr>
            </w:pPr>
            <w:r>
              <w:rPr>
                <w:rFonts w:hint="eastAsia" w:ascii="宋体" w:hAnsi="宋体" w:cs="宋体"/>
                <w:b/>
                <w:bCs/>
                <w:color w:val="000000"/>
                <w:kern w:val="0"/>
                <w:sz w:val="21"/>
                <w:szCs w:val="21"/>
              </w:rPr>
              <w:t>戏剧影视美术设计</w:t>
            </w:r>
            <w:r>
              <w:rPr>
                <w:rFonts w:ascii="宋体" w:hAnsi="宋体" w:cs="宋体"/>
                <w:b/>
                <w:bCs/>
                <w:color w:val="000000"/>
                <w:kern w:val="0"/>
                <w:sz w:val="21"/>
                <w:szCs w:val="21"/>
              </w:rPr>
              <w:t>(舞台化装)</w:t>
            </w:r>
          </w:p>
        </w:tc>
        <w:tc>
          <w:tcPr>
            <w:tcW w:w="1152" w:type="dxa"/>
            <w:shd w:val="clear" w:color="auto" w:fill="DAEEF3" w:themeFill="accent5" w:themeFillTint="33"/>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最终落实</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20"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87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87.50</w:t>
            </w:r>
          </w:p>
        </w:tc>
        <w:tc>
          <w:tcPr>
            <w:tcW w:w="745"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12.50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8" w:hRule="atLeast"/>
          <w:jc w:val="center"/>
        </w:trPr>
        <w:tc>
          <w:tcPr>
            <w:tcW w:w="2127" w:type="dxa"/>
            <w:vMerge w:val="continue"/>
            <w:vAlign w:val="center"/>
          </w:tcPr>
          <w:p>
            <w:pPr>
              <w:widowControl/>
              <w:jc w:val="left"/>
              <w:rPr>
                <w:rFonts w:ascii="宋体" w:hAnsi="宋体" w:cs="宋体"/>
                <w:b/>
                <w:bCs/>
                <w:color w:val="000000"/>
                <w:kern w:val="0"/>
                <w:sz w:val="21"/>
                <w:szCs w:val="21"/>
              </w:rPr>
            </w:pPr>
          </w:p>
        </w:tc>
        <w:tc>
          <w:tcPr>
            <w:tcW w:w="1152" w:type="dxa"/>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期望首选</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20"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12.50</w:t>
            </w:r>
          </w:p>
        </w:tc>
        <w:tc>
          <w:tcPr>
            <w:tcW w:w="87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75.00</w:t>
            </w:r>
          </w:p>
        </w:tc>
        <w:tc>
          <w:tcPr>
            <w:tcW w:w="745"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12.50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8" w:hRule="atLeast"/>
          <w:jc w:val="center"/>
        </w:trPr>
        <w:tc>
          <w:tcPr>
            <w:tcW w:w="2127" w:type="dxa"/>
            <w:vMerge w:val="restart"/>
            <w:shd w:val="clear" w:color="auto" w:fill="DAEEF3" w:themeFill="accent5" w:themeFillTint="33"/>
            <w:vAlign w:val="center"/>
          </w:tcPr>
          <w:p>
            <w:pPr>
              <w:widowControl/>
              <w:jc w:val="left"/>
              <w:rPr>
                <w:rFonts w:ascii="宋体" w:hAnsi="宋体" w:cs="宋体"/>
                <w:b/>
                <w:bCs/>
                <w:color w:val="000000"/>
                <w:kern w:val="0"/>
                <w:sz w:val="21"/>
                <w:szCs w:val="21"/>
              </w:rPr>
            </w:pPr>
            <w:r>
              <w:rPr>
                <w:rFonts w:hint="eastAsia" w:ascii="宋体" w:hAnsi="宋体" w:cs="宋体"/>
                <w:b/>
                <w:bCs/>
                <w:color w:val="000000"/>
                <w:kern w:val="0"/>
                <w:sz w:val="21"/>
                <w:szCs w:val="21"/>
              </w:rPr>
              <w:t>戏剧影视美术设计</w:t>
            </w:r>
            <w:r>
              <w:rPr>
                <w:rFonts w:ascii="宋体" w:hAnsi="宋体" w:cs="宋体"/>
                <w:b/>
                <w:bCs/>
                <w:color w:val="000000"/>
                <w:kern w:val="0"/>
                <w:sz w:val="21"/>
                <w:szCs w:val="21"/>
              </w:rPr>
              <w:t>(舞台技术)</w:t>
            </w:r>
          </w:p>
        </w:tc>
        <w:tc>
          <w:tcPr>
            <w:tcW w:w="1152" w:type="dxa"/>
            <w:shd w:val="clear" w:color="auto" w:fill="DAEEF3" w:themeFill="accent5" w:themeFillTint="33"/>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最终落实</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11.11</w:t>
            </w:r>
          </w:p>
        </w:tc>
        <w:tc>
          <w:tcPr>
            <w:tcW w:w="720"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11.11</w:t>
            </w:r>
          </w:p>
        </w:tc>
        <w:tc>
          <w:tcPr>
            <w:tcW w:w="87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55.56</w:t>
            </w:r>
          </w:p>
        </w:tc>
        <w:tc>
          <w:tcPr>
            <w:tcW w:w="745"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22.22</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8" w:hRule="atLeast"/>
          <w:jc w:val="center"/>
        </w:trPr>
        <w:tc>
          <w:tcPr>
            <w:tcW w:w="2127" w:type="dxa"/>
            <w:vMerge w:val="continue"/>
            <w:vAlign w:val="center"/>
          </w:tcPr>
          <w:p>
            <w:pPr>
              <w:widowControl/>
              <w:jc w:val="left"/>
              <w:rPr>
                <w:rFonts w:ascii="宋体" w:hAnsi="宋体" w:cs="宋体"/>
                <w:b/>
                <w:bCs/>
                <w:color w:val="000000"/>
                <w:kern w:val="0"/>
                <w:sz w:val="21"/>
                <w:szCs w:val="21"/>
              </w:rPr>
            </w:pPr>
          </w:p>
        </w:tc>
        <w:tc>
          <w:tcPr>
            <w:tcW w:w="1152" w:type="dxa"/>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期望首选</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11.11</w:t>
            </w:r>
          </w:p>
        </w:tc>
        <w:tc>
          <w:tcPr>
            <w:tcW w:w="720"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11.11</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87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66.67</w:t>
            </w:r>
          </w:p>
        </w:tc>
        <w:tc>
          <w:tcPr>
            <w:tcW w:w="745"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11.11</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8" w:hRule="atLeast"/>
          <w:jc w:val="center"/>
        </w:trPr>
        <w:tc>
          <w:tcPr>
            <w:tcW w:w="2127" w:type="dxa"/>
            <w:vMerge w:val="restart"/>
            <w:shd w:val="clear" w:color="auto" w:fill="DAEEF3" w:themeFill="accent5" w:themeFillTint="33"/>
            <w:vAlign w:val="center"/>
          </w:tcPr>
          <w:p>
            <w:pPr>
              <w:widowControl/>
              <w:jc w:val="left"/>
              <w:rPr>
                <w:rFonts w:ascii="宋体" w:hAnsi="宋体" w:cs="宋体"/>
                <w:b/>
                <w:bCs/>
                <w:color w:val="000000"/>
                <w:kern w:val="0"/>
                <w:sz w:val="21"/>
                <w:szCs w:val="21"/>
              </w:rPr>
            </w:pPr>
            <w:r>
              <w:rPr>
                <w:rFonts w:hint="eastAsia" w:ascii="宋体" w:hAnsi="宋体" w:cs="宋体"/>
                <w:b/>
                <w:bCs/>
                <w:color w:val="000000"/>
                <w:kern w:val="0"/>
                <w:sz w:val="21"/>
                <w:szCs w:val="21"/>
              </w:rPr>
              <w:t>戏剧影视文学</w:t>
            </w:r>
            <w:r>
              <w:rPr>
                <w:rFonts w:ascii="宋体" w:hAnsi="宋体" w:cs="宋体"/>
                <w:b/>
                <w:bCs/>
                <w:color w:val="000000"/>
                <w:kern w:val="0"/>
                <w:sz w:val="21"/>
                <w:szCs w:val="21"/>
              </w:rPr>
              <w:t>(电视剧创作)</w:t>
            </w:r>
          </w:p>
        </w:tc>
        <w:tc>
          <w:tcPr>
            <w:tcW w:w="1152" w:type="dxa"/>
            <w:shd w:val="clear" w:color="auto" w:fill="DAEEF3" w:themeFill="accent5" w:themeFillTint="33"/>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最终落实</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20"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87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100.00</w:t>
            </w:r>
          </w:p>
        </w:tc>
        <w:tc>
          <w:tcPr>
            <w:tcW w:w="745"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8" w:hRule="atLeast"/>
          <w:jc w:val="center"/>
        </w:trPr>
        <w:tc>
          <w:tcPr>
            <w:tcW w:w="2127" w:type="dxa"/>
            <w:vMerge w:val="continue"/>
            <w:vAlign w:val="center"/>
          </w:tcPr>
          <w:p>
            <w:pPr>
              <w:widowControl/>
              <w:jc w:val="left"/>
              <w:rPr>
                <w:rFonts w:ascii="宋体" w:hAnsi="宋体" w:cs="宋体"/>
                <w:b/>
                <w:bCs/>
                <w:color w:val="000000"/>
                <w:kern w:val="0"/>
                <w:sz w:val="21"/>
                <w:szCs w:val="21"/>
              </w:rPr>
            </w:pPr>
          </w:p>
        </w:tc>
        <w:tc>
          <w:tcPr>
            <w:tcW w:w="1152" w:type="dxa"/>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期望首选</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20"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63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87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100.00</w:t>
            </w:r>
          </w:p>
        </w:tc>
        <w:tc>
          <w:tcPr>
            <w:tcW w:w="745"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756"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r>
    </w:tbl>
    <w:p/>
    <w:p>
      <w:pPr>
        <w:pStyle w:val="67"/>
        <w:spacing w:before="156" w:after="156"/>
        <w:ind w:left="240"/>
      </w:pPr>
      <w:bookmarkStart w:id="197" w:name="_Toc486857495"/>
      <w:r>
        <w:t>5</w:t>
      </w:r>
      <w:r>
        <w:rPr>
          <w:rFonts w:hint="eastAsia"/>
        </w:rPr>
        <w:t>.就业满意度</w:t>
      </w:r>
      <w:bookmarkEnd w:id="197"/>
    </w:p>
    <w:p>
      <w:pPr>
        <w:pStyle w:val="123"/>
        <w:ind w:firstLine="480"/>
      </w:pPr>
      <w:bookmarkStart w:id="198" w:name="PO_32251"/>
      <w:bookmarkEnd w:id="198"/>
      <w:r>
        <w:rPr>
          <w:rFonts w:hint="eastAsia"/>
        </w:rPr>
        <w:t>关于对目前工作满意度的评价，62.92%的本科生表示“很满意”或“满意”，8.61%的本科生则表示“不满意”。</w:t>
      </w:r>
    </w:p>
    <w:p>
      <w:pPr>
        <w:jc w:val="center"/>
      </w:pPr>
      <w:bookmarkStart w:id="199" w:name="PO_32252"/>
      <w:bookmarkEnd w:id="199"/>
      <w:r>
        <w:rPr>
          <w:rFonts w:hint="eastAsia"/>
        </w:rPr>
        <w:drawing>
          <wp:inline distT="0" distB="0" distL="0" distR="0">
            <wp:extent cx="5007610" cy="2286000"/>
            <wp:effectExtent l="0" t="0" r="2540" b="0"/>
            <wp:docPr id="2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107"/>
        <w:spacing w:before="156" w:after="312"/>
      </w:pPr>
      <w:r>
        <w:rPr>
          <w:rFonts w:hint="eastAsia"/>
        </w:rPr>
        <w:t>本科生就业满意度</w:t>
      </w:r>
    </w:p>
    <w:p>
      <w:pPr>
        <w:pStyle w:val="123"/>
        <w:ind w:firstLine="482"/>
      </w:pPr>
      <w:r>
        <w:rPr>
          <w:rFonts w:hint="eastAsia"/>
          <w:b/>
        </w:rPr>
        <w:t>就专业而言</w:t>
      </w:r>
      <w:r>
        <w:rPr>
          <w:rFonts w:hint="eastAsia"/>
        </w:rPr>
        <w:t>，</w:t>
      </w:r>
      <w:bookmarkStart w:id="200" w:name="PO_32254"/>
      <w:bookmarkEnd w:id="200"/>
      <w:r>
        <w:rPr>
          <w:rFonts w:hint="eastAsia"/>
        </w:rPr>
        <w:t>方差检验显示，不同专业的本科生对目前工作的满意度不存在显著差异（F=0.99，p&gt;0.05）。</w:t>
      </w:r>
    </w:p>
    <w:p>
      <w:pPr>
        <w:pStyle w:val="41"/>
        <w:ind w:firstLine="480"/>
      </w:pPr>
      <w:bookmarkStart w:id="201" w:name="PO_32255"/>
      <w:bookmarkEnd w:id="201"/>
    </w:p>
    <w:p>
      <w:pPr>
        <w:jc w:val="center"/>
      </w:pPr>
      <w:bookmarkStart w:id="202" w:name="PO_32256"/>
      <w:bookmarkEnd w:id="202"/>
      <w:r>
        <w:rPr>
          <w:rFonts w:hint="eastAsia"/>
        </w:rPr>
        <w:drawing>
          <wp:inline distT="0" distB="0" distL="0" distR="0">
            <wp:extent cx="5563870" cy="2311400"/>
            <wp:effectExtent l="0" t="0" r="0" b="0"/>
            <wp:docPr id="3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107"/>
        <w:spacing w:before="156" w:after="312"/>
      </w:pPr>
      <w:r>
        <w:rPr>
          <w:rFonts w:hint="eastAsia"/>
        </w:rPr>
        <w:t>不同专业本科生就业满意度</w:t>
      </w:r>
    </w:p>
    <w:p>
      <w:pPr>
        <w:pStyle w:val="41"/>
        <w:ind w:firstLine="482"/>
      </w:pPr>
      <w:r>
        <w:rPr>
          <w:rFonts w:hint="eastAsia"/>
          <w:b/>
        </w:rPr>
        <w:t>与2016届</w:t>
      </w:r>
      <w:r>
        <w:rPr>
          <w:b/>
        </w:rPr>
        <w:t>相比而言，</w:t>
      </w:r>
      <w:r>
        <w:rPr>
          <w:rFonts w:hint="eastAsia"/>
        </w:rPr>
        <w:t>2017届本科生</w:t>
      </w:r>
      <w:r>
        <w:t>就业</w:t>
      </w:r>
      <w:r>
        <w:rPr>
          <w:rFonts w:hint="eastAsia"/>
        </w:rPr>
        <w:t>“很满意”“满意”以及“很不满意”的</w:t>
      </w:r>
      <w:r>
        <w:t>比例</w:t>
      </w:r>
      <w:r>
        <w:rPr>
          <w:rFonts w:hint="eastAsia"/>
        </w:rPr>
        <w:t>有所</w:t>
      </w:r>
      <w:r>
        <w:t>下降，</w:t>
      </w:r>
      <w:r>
        <w:rPr>
          <w:rFonts w:hint="eastAsia"/>
        </w:rPr>
        <w:t>而</w:t>
      </w:r>
      <w:r>
        <w:t>对就业</w:t>
      </w:r>
      <w:r>
        <w:rPr>
          <w:rFonts w:hint="eastAsia"/>
        </w:rPr>
        <w:t>满意度</w:t>
      </w:r>
      <w:r>
        <w:t>表示</w:t>
      </w:r>
      <w:r>
        <w:rPr>
          <w:rFonts w:hint="eastAsia"/>
        </w:rPr>
        <w:t>“不满意”的</w:t>
      </w:r>
      <w:r>
        <w:t>比例有所升高。</w:t>
      </w:r>
    </w:p>
    <w:p>
      <w:pPr>
        <w:pStyle w:val="41"/>
        <w:ind w:firstLine="480"/>
        <w:jc w:val="center"/>
      </w:pPr>
      <w:r>
        <w:rPr>
          <w:rFonts w:hint="eastAsia"/>
        </w:rPr>
        <w:drawing>
          <wp:inline distT="0" distB="0" distL="0" distR="0">
            <wp:extent cx="4742180" cy="2286000"/>
            <wp:effectExtent l="19050" t="0" r="0" b="0"/>
            <wp:docPr id="44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pStyle w:val="107"/>
        <w:spacing w:before="156" w:after="312"/>
      </w:pPr>
      <w:r>
        <w:rPr>
          <w:rFonts w:hint="eastAsia"/>
        </w:rPr>
        <w:t>2016届</w:t>
      </w:r>
      <w:r>
        <w:t>与</w:t>
      </w:r>
      <w:r>
        <w:rPr>
          <w:rFonts w:hint="eastAsia"/>
        </w:rPr>
        <w:t>2017届本科生</w:t>
      </w:r>
      <w:r>
        <w:t>就业满意度对比</w:t>
      </w:r>
    </w:p>
    <w:p>
      <w:pPr>
        <w:pStyle w:val="67"/>
        <w:spacing w:before="156" w:after="156"/>
        <w:ind w:left="240"/>
      </w:pPr>
      <w:bookmarkStart w:id="203" w:name="_Toc486857496"/>
      <w:r>
        <w:rPr>
          <w:rFonts w:hint="eastAsia"/>
        </w:rPr>
        <w:t>6.</w:t>
      </w:r>
      <w:r>
        <w:t>年薪</w:t>
      </w:r>
      <w:bookmarkEnd w:id="203"/>
    </w:p>
    <w:p>
      <w:pPr>
        <w:pStyle w:val="123"/>
        <w:ind w:firstLine="480"/>
      </w:pPr>
      <w:bookmarkStart w:id="204" w:name="PO_32261"/>
      <w:bookmarkEnd w:id="204"/>
      <w:r>
        <w:rPr>
          <w:rFonts w:hint="eastAsia"/>
        </w:rPr>
        <w:t>总体而言，本科生最终落实的平均年薪为12.13万元，比期望年薪低3.79万元。</w:t>
      </w:r>
    </w:p>
    <w:p>
      <w:pPr>
        <w:jc w:val="center"/>
      </w:pPr>
      <w:bookmarkStart w:id="205" w:name="PO_32262"/>
      <w:bookmarkEnd w:id="205"/>
      <w:r>
        <w:rPr>
          <w:rFonts w:hint="eastAsia"/>
        </w:rPr>
        <w:drawing>
          <wp:inline distT="0" distB="0" distL="0" distR="0">
            <wp:extent cx="4493895" cy="2673985"/>
            <wp:effectExtent l="19050" t="0" r="20488" b="0"/>
            <wp:docPr id="79" name="图表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107"/>
        <w:spacing w:before="156" w:after="312"/>
      </w:pPr>
      <w:r>
        <w:rPr>
          <w:rFonts w:hint="eastAsia"/>
        </w:rPr>
        <w:t>本科生落实的年薪分布情况（单位：万元）</w:t>
      </w:r>
    </w:p>
    <w:p>
      <w:pPr>
        <w:pStyle w:val="123"/>
        <w:ind w:firstLine="482"/>
      </w:pPr>
      <w:r>
        <w:rPr>
          <w:rFonts w:hint="eastAsia"/>
          <w:b/>
        </w:rPr>
        <w:t>就专业而言</w:t>
      </w:r>
      <w:r>
        <w:rPr>
          <w:rFonts w:hint="eastAsia"/>
        </w:rPr>
        <w:t>，</w:t>
      </w:r>
      <w:bookmarkStart w:id="206" w:name="PO_32264"/>
      <w:bookmarkEnd w:id="206"/>
      <w:r>
        <w:rPr>
          <w:rFonts w:hint="eastAsia"/>
        </w:rPr>
        <w:t>本科生最终落实年薪较高的专业有：表演（戏剧影视表演）（18.35万元）、表演（音乐剧）（14.80万元）和导演（影视编导）（12.50万元）；从期望与实际的差异看，导演（演出制作）专业的本科生最终落实年薪高于期望，表演等11个专业本科生落实的年薪低于期望的年薪。</w:t>
      </w:r>
    </w:p>
    <w:p>
      <w:pPr>
        <w:pStyle w:val="41"/>
        <w:ind w:firstLine="480"/>
      </w:pPr>
      <w:bookmarkStart w:id="207" w:name="PO_32265"/>
      <w:bookmarkEnd w:id="207"/>
    </w:p>
    <w:p>
      <w:pPr>
        <w:jc w:val="center"/>
      </w:pPr>
      <w:bookmarkStart w:id="208" w:name="PO_32266"/>
      <w:bookmarkEnd w:id="208"/>
      <w:r>
        <w:rPr>
          <w:rFonts w:hint="eastAsia"/>
        </w:rPr>
        <w:drawing>
          <wp:inline distT="0" distB="0" distL="0" distR="0">
            <wp:extent cx="5875020" cy="3077210"/>
            <wp:effectExtent l="19050" t="0" r="11089" b="8530"/>
            <wp:docPr id="65" name="图表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pStyle w:val="107"/>
        <w:spacing w:before="156" w:after="312"/>
      </w:pPr>
      <w:r>
        <w:rPr>
          <w:rFonts w:hint="eastAsia"/>
        </w:rPr>
        <w:t>不同专业本科生期望与落实年薪（万元）</w:t>
      </w:r>
    </w:p>
    <w:p>
      <w:pPr>
        <w:spacing w:line="360" w:lineRule="auto"/>
        <w:ind w:firstLine="482" w:firstLineChars="200"/>
        <w:rPr>
          <w:rFonts w:ascii="Times New Roman" w:hAnsi="Times New Roman" w:cs="Times New Roman"/>
          <w:szCs w:val="24"/>
        </w:rPr>
      </w:pPr>
      <w:bookmarkStart w:id="209" w:name="_Hlk497405384"/>
      <w:r>
        <w:rPr>
          <w:rFonts w:ascii="Times New Roman" w:hAnsi="Times New Roman" w:cs="Times New Roman"/>
          <w:b/>
          <w:szCs w:val="24"/>
        </w:rPr>
        <w:t>与2016届相比而言</w:t>
      </w:r>
      <w:r>
        <w:rPr>
          <w:rFonts w:ascii="Times New Roman" w:hAnsi="Times New Roman" w:cs="Times New Roman"/>
          <w:szCs w:val="24"/>
        </w:rPr>
        <w:t>，</w:t>
      </w:r>
      <w:r>
        <w:rPr>
          <w:rFonts w:hint="eastAsia"/>
        </w:rPr>
        <w:t>2017届</w:t>
      </w:r>
      <w:r>
        <w:rPr>
          <w:rFonts w:ascii="Times New Roman" w:hAnsi="Times New Roman" w:cs="Times New Roman"/>
          <w:szCs w:val="24"/>
        </w:rPr>
        <w:t>本科生</w:t>
      </w:r>
      <w:r>
        <w:rPr>
          <w:rFonts w:hint="eastAsia" w:ascii="Times New Roman" w:hAnsi="Times New Roman" w:cs="Times New Roman"/>
          <w:szCs w:val="24"/>
        </w:rPr>
        <w:t>在薪酬的期望-落实方面均有所增加。其中，</w:t>
      </w:r>
      <w:r>
        <w:rPr>
          <w:rFonts w:ascii="Times New Roman" w:hAnsi="Times New Roman" w:cs="Times New Roman"/>
          <w:szCs w:val="24"/>
        </w:rPr>
        <w:t>最终落实的平均年薪增加了2.35万元。</w:t>
      </w:r>
    </w:p>
    <w:p/>
    <w:p>
      <w:pPr>
        <w:jc w:val="center"/>
      </w:pPr>
      <w:r>
        <w:rPr>
          <w:rFonts w:hint="eastAsia"/>
        </w:rPr>
        <w:drawing>
          <wp:inline distT="0" distB="0" distL="0" distR="0">
            <wp:extent cx="4397375" cy="2673985"/>
            <wp:effectExtent l="19050" t="0" r="21926" b="0"/>
            <wp:docPr id="449" name="图表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pStyle w:val="107"/>
        <w:spacing w:before="156" w:after="312"/>
      </w:pPr>
      <w:r>
        <w:rPr>
          <w:rFonts w:hint="eastAsia"/>
        </w:rPr>
        <w:t>2016届</w:t>
      </w:r>
      <w:r>
        <w:t>与</w:t>
      </w:r>
      <w:r>
        <w:rPr>
          <w:rFonts w:hint="eastAsia"/>
        </w:rPr>
        <w:t>2017届</w:t>
      </w:r>
      <w:r>
        <w:t>本科生</w:t>
      </w:r>
      <w:r>
        <w:rPr>
          <w:rFonts w:hint="eastAsia"/>
        </w:rPr>
        <w:t>期望与落实</w:t>
      </w:r>
      <w:r>
        <w:t>年薪的比较</w:t>
      </w:r>
      <w:r>
        <w:rPr>
          <w:rFonts w:hint="eastAsia"/>
        </w:rPr>
        <w:t>（万元）</w:t>
      </w:r>
    </w:p>
    <w:bookmarkEnd w:id="209"/>
    <w:p>
      <w:pPr>
        <w:pStyle w:val="41"/>
        <w:ind w:firstLine="480"/>
      </w:pPr>
    </w:p>
    <w:p>
      <w:pPr>
        <w:pStyle w:val="67"/>
        <w:spacing w:before="156" w:after="156"/>
        <w:ind w:left="240"/>
      </w:pPr>
      <w:bookmarkStart w:id="210" w:name="_Toc486857497"/>
      <w:r>
        <w:rPr>
          <w:rFonts w:hint="eastAsia"/>
        </w:rPr>
        <w:t>7.福利保障</w:t>
      </w:r>
      <w:bookmarkEnd w:id="210"/>
    </w:p>
    <w:p>
      <w:pPr>
        <w:pStyle w:val="70"/>
        <w:spacing w:before="156" w:after="156"/>
        <w:ind w:left="360"/>
      </w:pPr>
      <w:r>
        <w:rPr>
          <w:rFonts w:hint="eastAsia"/>
        </w:rPr>
        <w:t>（1）保险</w:t>
      </w:r>
    </w:p>
    <w:p>
      <w:pPr>
        <w:pStyle w:val="123"/>
        <w:ind w:firstLine="480"/>
      </w:pPr>
      <w:bookmarkStart w:id="211" w:name="PO_322711"/>
      <w:bookmarkEnd w:id="211"/>
      <w:r>
        <w:rPr>
          <w:rFonts w:hint="eastAsia"/>
        </w:rPr>
        <w:t>从本科生落实工作的保险情况看，有五险的本科生占56.95%，五险不全和没有五险的分别占6.62%和36.42%。</w:t>
      </w:r>
    </w:p>
    <w:p>
      <w:pPr>
        <w:jc w:val="center"/>
      </w:pPr>
      <w:bookmarkStart w:id="212" w:name="PO_322712"/>
      <w:bookmarkEnd w:id="212"/>
      <w:r>
        <w:rPr>
          <w:rFonts w:hint="eastAsia"/>
        </w:rPr>
        <w:drawing>
          <wp:inline distT="0" distB="0" distL="0" distR="0">
            <wp:extent cx="5026025" cy="3133725"/>
            <wp:effectExtent l="19050" t="0" r="22225" b="0"/>
            <wp:docPr id="6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pStyle w:val="107"/>
        <w:spacing w:before="156" w:after="312"/>
      </w:pPr>
      <w:r>
        <w:rPr>
          <w:rFonts w:hint="eastAsia"/>
        </w:rPr>
        <w:t>本科生落实工作的保险情况</w:t>
      </w:r>
    </w:p>
    <w:p>
      <w:pPr>
        <w:spacing w:line="360" w:lineRule="auto"/>
        <w:ind w:firstLine="482" w:firstLineChars="200"/>
        <w:rPr>
          <w:rFonts w:ascii="Times New Roman" w:hAnsi="Times New Roman" w:cs="Times New Roman"/>
        </w:rPr>
      </w:pPr>
      <w:bookmarkStart w:id="213" w:name="_Hlk497405643"/>
      <w:r>
        <w:rPr>
          <w:rFonts w:ascii="Times New Roman" w:hAnsi="Times New Roman" w:cs="Times New Roman"/>
          <w:b/>
        </w:rPr>
        <w:t>与2016届相比</w:t>
      </w:r>
      <w:r>
        <w:rPr>
          <w:rFonts w:ascii="Times New Roman" w:hAnsi="Times New Roman" w:cs="Times New Roman"/>
        </w:rPr>
        <w:t>，</w:t>
      </w:r>
      <w:r>
        <w:rPr>
          <w:rFonts w:hint="eastAsia"/>
        </w:rPr>
        <w:t>2017届</w:t>
      </w:r>
      <w:r>
        <w:rPr>
          <w:rFonts w:ascii="Times New Roman" w:hAnsi="Times New Roman" w:cs="Times New Roman"/>
        </w:rPr>
        <w:t>本科生享有</w:t>
      </w:r>
      <w:r>
        <w:rPr>
          <w:rFonts w:hint="eastAsia" w:ascii="Times New Roman" w:hAnsi="Times New Roman" w:cs="Times New Roman"/>
        </w:rPr>
        <w:t>保险（包括“有五险”和“五险不全”）的</w:t>
      </w:r>
      <w:r>
        <w:rPr>
          <w:rFonts w:ascii="Times New Roman" w:hAnsi="Times New Roman" w:cs="Times New Roman"/>
        </w:rPr>
        <w:t>比例有所下降，而没有五险的比例有所升高。</w:t>
      </w:r>
    </w:p>
    <w:p>
      <w:pPr>
        <w:pStyle w:val="41"/>
        <w:ind w:firstLine="480"/>
        <w:jc w:val="center"/>
      </w:pPr>
      <w:r>
        <w:rPr>
          <w:rFonts w:hint="eastAsia"/>
        </w:rPr>
        <w:drawing>
          <wp:inline distT="0" distB="0" distL="0" distR="0">
            <wp:extent cx="4742180" cy="2440940"/>
            <wp:effectExtent l="19050" t="0" r="19768" b="0"/>
            <wp:docPr id="45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pStyle w:val="107"/>
        <w:spacing w:before="156" w:after="312"/>
      </w:pPr>
      <w:r>
        <w:rPr>
          <w:rFonts w:hint="eastAsia"/>
        </w:rPr>
        <w:t>2016届</w:t>
      </w:r>
      <w:r>
        <w:t>与</w:t>
      </w:r>
      <w:r>
        <w:rPr>
          <w:rFonts w:hint="eastAsia"/>
        </w:rPr>
        <w:t>2017届</w:t>
      </w:r>
      <w:r>
        <w:t>本科生享受五险情况对比</w:t>
      </w:r>
    </w:p>
    <w:bookmarkEnd w:id="213"/>
    <w:p>
      <w:pPr>
        <w:pStyle w:val="41"/>
        <w:ind w:firstLine="480"/>
      </w:pPr>
    </w:p>
    <w:p>
      <w:pPr>
        <w:pStyle w:val="70"/>
        <w:spacing w:before="156" w:after="156"/>
        <w:ind w:left="360"/>
      </w:pPr>
      <w:bookmarkStart w:id="214" w:name="PO_322714"/>
      <w:bookmarkEnd w:id="214"/>
      <w:r>
        <w:rPr>
          <w:rFonts w:hint="eastAsia"/>
        </w:rPr>
        <w:t>（2）公积金</w:t>
      </w:r>
    </w:p>
    <w:p>
      <w:pPr>
        <w:pStyle w:val="123"/>
        <w:ind w:firstLine="480"/>
      </w:pPr>
      <w:bookmarkStart w:id="215" w:name="PO_322721"/>
      <w:bookmarkEnd w:id="215"/>
      <w:r>
        <w:rPr>
          <w:rFonts w:hint="eastAsia"/>
        </w:rPr>
        <w:t>从本科生落实工作的公积金情况看，有公积金的本科生占41.06%，没有公积金的占58.94%。</w:t>
      </w:r>
    </w:p>
    <w:p>
      <w:pPr>
        <w:jc w:val="center"/>
      </w:pPr>
      <w:bookmarkStart w:id="216" w:name="PO_322722"/>
      <w:bookmarkEnd w:id="216"/>
      <w:r>
        <w:rPr>
          <w:rFonts w:hint="eastAsia"/>
        </w:rPr>
        <w:drawing>
          <wp:inline distT="0" distB="0" distL="0" distR="0">
            <wp:extent cx="5274310" cy="2426335"/>
            <wp:effectExtent l="19050" t="0" r="21590" b="0"/>
            <wp:docPr id="6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pStyle w:val="107"/>
        <w:spacing w:before="156" w:after="312"/>
      </w:pPr>
      <w:r>
        <w:rPr>
          <w:rFonts w:hint="eastAsia"/>
        </w:rPr>
        <w:t>本科生落实工作的公积金情况</w:t>
      </w:r>
    </w:p>
    <w:p>
      <w:pPr>
        <w:spacing w:line="360" w:lineRule="auto"/>
        <w:ind w:firstLine="482" w:firstLineChars="200"/>
        <w:rPr>
          <w:rFonts w:ascii="Times New Roman" w:hAnsi="Times New Roman" w:cs="Times New Roman"/>
        </w:rPr>
      </w:pPr>
      <w:r>
        <w:rPr>
          <w:rFonts w:ascii="Times New Roman" w:hAnsi="Times New Roman" w:cs="Times New Roman"/>
          <w:b/>
        </w:rPr>
        <w:t>与2016届相比而言，</w:t>
      </w:r>
      <w:r>
        <w:rPr>
          <w:rFonts w:hint="eastAsia"/>
        </w:rPr>
        <w:t>2017届</w:t>
      </w:r>
      <w:r>
        <w:rPr>
          <w:rFonts w:hint="eastAsia" w:ascii="Times New Roman" w:hAnsi="Times New Roman" w:cs="Times New Roman"/>
        </w:rPr>
        <w:t>本科</w:t>
      </w:r>
      <w:r>
        <w:rPr>
          <w:rFonts w:ascii="Times New Roman" w:hAnsi="Times New Roman" w:cs="Times New Roman"/>
        </w:rPr>
        <w:t>生享受公积金的比例</w:t>
      </w:r>
      <w:r>
        <w:rPr>
          <w:rFonts w:hint="eastAsia" w:ascii="Times New Roman" w:hAnsi="Times New Roman" w:cs="Times New Roman"/>
        </w:rPr>
        <w:t>下降</w:t>
      </w:r>
      <w:r>
        <w:rPr>
          <w:rFonts w:ascii="Times New Roman" w:hAnsi="Times New Roman" w:cs="Times New Roman"/>
        </w:rPr>
        <w:t>了14.94%。</w:t>
      </w:r>
    </w:p>
    <w:p>
      <w:pPr>
        <w:jc w:val="center"/>
      </w:pPr>
      <w:r>
        <w:rPr>
          <w:rFonts w:hint="eastAsia"/>
        </w:rPr>
        <w:drawing>
          <wp:inline distT="0" distB="0" distL="0" distR="0">
            <wp:extent cx="4354195" cy="2484120"/>
            <wp:effectExtent l="19050" t="0" r="26958" b="0"/>
            <wp:docPr id="45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pStyle w:val="107"/>
        <w:spacing w:before="156" w:after="312"/>
      </w:pPr>
      <w:r>
        <w:rPr>
          <w:rFonts w:hint="eastAsia"/>
        </w:rPr>
        <w:t>2016届</w:t>
      </w:r>
      <w:r>
        <w:t>与</w:t>
      </w:r>
      <w:r>
        <w:rPr>
          <w:rFonts w:hint="eastAsia"/>
        </w:rPr>
        <w:t>2017届本科生</w:t>
      </w:r>
      <w:r>
        <w:t>享受公积金情况对比</w:t>
      </w:r>
    </w:p>
    <w:p>
      <w:pPr>
        <w:pStyle w:val="41"/>
        <w:ind w:firstLine="480"/>
      </w:pPr>
    </w:p>
    <w:p>
      <w:pPr>
        <w:pStyle w:val="67"/>
        <w:spacing w:before="156" w:after="156"/>
        <w:ind w:left="240"/>
      </w:pPr>
      <w:bookmarkStart w:id="217" w:name="_Toc486857498"/>
      <w:r>
        <w:rPr>
          <w:rFonts w:hint="eastAsia"/>
        </w:rPr>
        <w:t>8.发展前景</w:t>
      </w:r>
      <w:bookmarkEnd w:id="217"/>
    </w:p>
    <w:p>
      <w:pPr>
        <w:pStyle w:val="70"/>
        <w:spacing w:before="156" w:after="156"/>
        <w:ind w:left="360"/>
      </w:pPr>
      <w:r>
        <w:rPr>
          <w:rFonts w:hint="eastAsia"/>
        </w:rPr>
        <w:t>（1）发展空间</w:t>
      </w:r>
    </w:p>
    <w:p>
      <w:pPr>
        <w:pStyle w:val="123"/>
        <w:ind w:firstLine="480"/>
      </w:pPr>
      <w:bookmarkStart w:id="218" w:name="PO_322811"/>
      <w:bookmarkEnd w:id="218"/>
      <w:r>
        <w:rPr>
          <w:rFonts w:hint="eastAsia"/>
        </w:rPr>
        <w:t>从落实工作的发展空间看，52.98%的本科生认为工作发展空间“很大”或“大”，5.96%的本科生则表示“小”或“很小”。</w:t>
      </w:r>
    </w:p>
    <w:p>
      <w:pPr>
        <w:jc w:val="center"/>
      </w:pPr>
      <w:bookmarkStart w:id="219" w:name="PO_322812"/>
      <w:bookmarkEnd w:id="219"/>
      <w:r>
        <w:rPr>
          <w:rFonts w:hint="eastAsia"/>
        </w:rPr>
        <w:drawing>
          <wp:inline distT="0" distB="0" distL="0" distR="0">
            <wp:extent cx="5007610" cy="2286000"/>
            <wp:effectExtent l="0" t="0" r="2540" b="0"/>
            <wp:docPr id="7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pStyle w:val="107"/>
        <w:spacing w:before="156" w:after="312"/>
      </w:pPr>
      <w:r>
        <w:rPr>
          <w:rFonts w:hint="eastAsia"/>
        </w:rPr>
        <w:t>本科生发展空间情况</w:t>
      </w:r>
    </w:p>
    <w:p>
      <w:pPr>
        <w:pStyle w:val="41"/>
        <w:ind w:firstLine="482"/>
        <w:rPr>
          <w:rFonts w:asciiTheme="minorEastAsia" w:hAnsiTheme="minorEastAsia" w:eastAsiaTheme="minorEastAsia"/>
        </w:rPr>
      </w:pPr>
      <w:bookmarkStart w:id="220" w:name="_Hlk497402511"/>
      <w:r>
        <w:rPr>
          <w:rFonts w:hint="eastAsia"/>
          <w:b/>
        </w:rPr>
        <w:t>与2016届</w:t>
      </w:r>
      <w:r>
        <w:rPr>
          <w:b/>
        </w:rPr>
        <w:t>相比，</w:t>
      </w:r>
      <w:r>
        <w:rPr>
          <w:rFonts w:hint="eastAsia"/>
        </w:rPr>
        <w:t>2017届</w:t>
      </w:r>
      <w:r>
        <w:t>本科生</w:t>
      </w:r>
      <w:r>
        <w:rPr>
          <w:rFonts w:hint="eastAsia"/>
        </w:rPr>
        <w:t>认为有</w:t>
      </w:r>
      <w:r>
        <w:t>发展空</w:t>
      </w:r>
      <w:r>
        <w:rPr>
          <w:rFonts w:asciiTheme="minorEastAsia" w:hAnsiTheme="minorEastAsia" w:eastAsiaTheme="minorEastAsia"/>
        </w:rPr>
        <w:t>间</w:t>
      </w:r>
      <w:r>
        <w:rPr>
          <w:rFonts w:hint="eastAsia" w:asciiTheme="minorEastAsia" w:hAnsiTheme="minorEastAsia" w:eastAsiaTheme="minorEastAsia"/>
        </w:rPr>
        <w:t>（包括“很大”和“大”）的比例（52.98%）略高于2016届（52.72%）</w:t>
      </w:r>
      <w:r>
        <w:rPr>
          <w:rFonts w:asciiTheme="minorEastAsia" w:hAnsiTheme="minorEastAsia" w:eastAsiaTheme="minorEastAsia"/>
        </w:rPr>
        <w:t>。</w:t>
      </w:r>
    </w:p>
    <w:p>
      <w:pPr>
        <w:pStyle w:val="41"/>
        <w:ind w:firstLine="480"/>
        <w:jc w:val="center"/>
      </w:pPr>
      <w:r>
        <w:rPr>
          <w:rFonts w:hint="eastAsia"/>
        </w:rPr>
        <w:drawing>
          <wp:inline distT="0" distB="0" distL="0" distR="0">
            <wp:extent cx="4830445" cy="2570480"/>
            <wp:effectExtent l="0" t="0" r="0" b="0"/>
            <wp:docPr id="45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pStyle w:val="107"/>
        <w:spacing w:before="156" w:after="312"/>
      </w:pPr>
      <w:r>
        <w:rPr>
          <w:rFonts w:hint="eastAsia"/>
        </w:rPr>
        <w:t>2016届</w:t>
      </w:r>
      <w:r>
        <w:t>与</w:t>
      </w:r>
      <w:r>
        <w:rPr>
          <w:rFonts w:hint="eastAsia"/>
        </w:rPr>
        <w:t>2017届</w:t>
      </w:r>
      <w:r>
        <w:t>本科生</w:t>
      </w:r>
      <w:r>
        <w:rPr>
          <w:rFonts w:hint="eastAsia"/>
        </w:rPr>
        <w:t>发展</w:t>
      </w:r>
      <w:r>
        <w:t>空间情况对比</w:t>
      </w:r>
    </w:p>
    <w:bookmarkEnd w:id="220"/>
    <w:p>
      <w:pPr>
        <w:pStyle w:val="41"/>
        <w:ind w:firstLine="480"/>
      </w:pPr>
    </w:p>
    <w:p>
      <w:pPr>
        <w:pStyle w:val="70"/>
        <w:spacing w:before="156" w:after="156"/>
        <w:ind w:left="360"/>
      </w:pPr>
      <w:r>
        <w:rPr>
          <w:rFonts w:hint="eastAsia"/>
        </w:rPr>
        <w:t>（</w:t>
      </w:r>
      <w:r>
        <w:t>2</w:t>
      </w:r>
      <w:r>
        <w:rPr>
          <w:rFonts w:hint="eastAsia"/>
        </w:rPr>
        <w:t>）发展路径</w:t>
      </w:r>
    </w:p>
    <w:p>
      <w:pPr>
        <w:pStyle w:val="123"/>
        <w:ind w:firstLine="480"/>
      </w:pPr>
      <w:bookmarkStart w:id="221" w:name="PO_322821"/>
      <w:bookmarkEnd w:id="221"/>
      <w:r>
        <w:rPr>
          <w:rFonts w:hint="eastAsia"/>
        </w:rPr>
        <w:t>从落实工作的发展路径看，表示发展路径“很清晰”或“清晰”的本科生占54.97%，2.65%的本科生则表示“不清晰”或“很不清晰”。</w:t>
      </w:r>
    </w:p>
    <w:p>
      <w:pPr>
        <w:jc w:val="center"/>
      </w:pPr>
      <w:bookmarkStart w:id="222" w:name="PO_322822"/>
      <w:bookmarkEnd w:id="222"/>
      <w:r>
        <w:rPr>
          <w:rFonts w:hint="eastAsia"/>
        </w:rPr>
        <w:drawing>
          <wp:inline distT="0" distB="0" distL="0" distR="0">
            <wp:extent cx="5007610" cy="2286000"/>
            <wp:effectExtent l="0" t="0" r="2540" b="0"/>
            <wp:docPr id="7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pStyle w:val="107"/>
        <w:spacing w:before="156" w:after="312"/>
      </w:pPr>
      <w:r>
        <w:rPr>
          <w:rFonts w:hint="eastAsia"/>
        </w:rPr>
        <w:t>本科生发展路径情况</w:t>
      </w:r>
    </w:p>
    <w:p>
      <w:pPr>
        <w:pStyle w:val="67"/>
        <w:spacing w:before="156" w:after="156"/>
        <w:ind w:left="240"/>
      </w:pPr>
      <w:bookmarkStart w:id="223" w:name="_Toc486857499"/>
      <w:r>
        <w:rPr>
          <w:rFonts w:hint="eastAsia"/>
        </w:rPr>
        <w:t>9.稳定性</w:t>
      </w:r>
      <w:bookmarkEnd w:id="223"/>
    </w:p>
    <w:p>
      <w:pPr>
        <w:pStyle w:val="123"/>
        <w:ind w:firstLine="480"/>
      </w:pPr>
      <w:bookmarkStart w:id="224" w:name="PO_32291"/>
      <w:bookmarkEnd w:id="224"/>
      <w:r>
        <w:rPr>
          <w:rFonts w:hint="eastAsia"/>
        </w:rPr>
        <w:t>从工作稳定性看，预期工作时间在1~3年的本科生比例最高，占40.40%，预期工作时间在1年以内及3年以上的比例各占32.45%和27.16%。</w:t>
      </w:r>
    </w:p>
    <w:p>
      <w:pPr>
        <w:jc w:val="center"/>
      </w:pPr>
      <w:bookmarkStart w:id="225" w:name="PO_32292"/>
      <w:bookmarkEnd w:id="225"/>
      <w:r>
        <w:rPr>
          <w:rFonts w:hint="eastAsia"/>
        </w:rPr>
        <w:drawing>
          <wp:inline distT="0" distB="0" distL="0" distR="0">
            <wp:extent cx="5210175" cy="2647950"/>
            <wp:effectExtent l="19050" t="0" r="9525" b="0"/>
            <wp:docPr id="34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pStyle w:val="107"/>
        <w:spacing w:before="156" w:after="312"/>
      </w:pPr>
      <w:r>
        <w:rPr>
          <w:rFonts w:hint="eastAsia"/>
        </w:rPr>
        <w:t>本科生预期在落实单位工作时间</w:t>
      </w:r>
      <w:bookmarkStart w:id="226" w:name="PO_32294"/>
      <w:bookmarkEnd w:id="226"/>
    </w:p>
    <w:p>
      <w:pPr>
        <w:pStyle w:val="41"/>
        <w:ind w:firstLine="482"/>
      </w:pPr>
      <w:bookmarkStart w:id="227" w:name="_Hlk497402831"/>
      <w:r>
        <w:rPr>
          <w:rFonts w:hint="eastAsia"/>
          <w:b/>
        </w:rPr>
        <w:t>与2016届相比</w:t>
      </w:r>
      <w:r>
        <w:rPr>
          <w:b/>
        </w:rPr>
        <w:t>而言</w:t>
      </w:r>
      <w:r>
        <w:t>，</w:t>
      </w:r>
      <w:r>
        <w:rPr>
          <w:rFonts w:hint="eastAsia"/>
        </w:rPr>
        <w:t>2017届</w:t>
      </w:r>
      <w:r>
        <w:t>本科生</w:t>
      </w:r>
      <w:r>
        <w:rPr>
          <w:rFonts w:hint="eastAsia"/>
        </w:rPr>
        <w:t>预期</w:t>
      </w:r>
      <w:r>
        <w:t>工作时间在</w:t>
      </w:r>
      <w:r>
        <w:rPr>
          <w:rFonts w:hint="eastAsia"/>
        </w:rPr>
        <w:t>1年</w:t>
      </w:r>
      <w:r>
        <w:t>以内以及</w:t>
      </w:r>
      <w:r>
        <w:rPr>
          <w:rFonts w:hint="eastAsia"/>
        </w:rPr>
        <w:t>1～3年</w:t>
      </w:r>
      <w:r>
        <w:t>的比例有</w:t>
      </w:r>
      <w:r>
        <w:rPr>
          <w:rFonts w:hint="eastAsia"/>
        </w:rPr>
        <w:t>所下降，</w:t>
      </w:r>
      <w:r>
        <w:t>而</w:t>
      </w:r>
      <w:r>
        <w:rPr>
          <w:rFonts w:hint="eastAsia"/>
        </w:rPr>
        <w:t>预期</w:t>
      </w:r>
      <w:r>
        <w:t>工作时间在</w:t>
      </w:r>
      <w:r>
        <w:rPr>
          <w:rFonts w:hint="eastAsia"/>
        </w:rPr>
        <w:t>3年</w:t>
      </w:r>
      <w:r>
        <w:t>以上的比例有</w:t>
      </w:r>
      <w:r>
        <w:rPr>
          <w:rFonts w:hint="eastAsia"/>
        </w:rPr>
        <w:t>所升高</w:t>
      </w:r>
      <w:r>
        <w:t>。</w:t>
      </w:r>
    </w:p>
    <w:p>
      <w:pPr>
        <w:pStyle w:val="41"/>
        <w:ind w:firstLine="480"/>
        <w:jc w:val="center"/>
      </w:pPr>
      <w:r>
        <w:rPr>
          <w:rFonts w:hint="eastAsia"/>
        </w:rPr>
        <w:drawing>
          <wp:inline distT="0" distB="0" distL="0" distR="0">
            <wp:extent cx="5201285" cy="2570480"/>
            <wp:effectExtent l="0" t="0" r="0" b="0"/>
            <wp:docPr id="42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pStyle w:val="107"/>
        <w:spacing w:before="156" w:after="312"/>
      </w:pPr>
      <w:r>
        <w:rPr>
          <w:rFonts w:hint="eastAsia"/>
        </w:rPr>
        <w:t>2016届</w:t>
      </w:r>
      <w:r>
        <w:t>与</w:t>
      </w:r>
      <w:r>
        <w:rPr>
          <w:rFonts w:hint="eastAsia"/>
        </w:rPr>
        <w:t>2017届</w:t>
      </w:r>
      <w:r>
        <w:t>本科生</w:t>
      </w:r>
      <w:r>
        <w:rPr>
          <w:rFonts w:hint="eastAsia"/>
        </w:rPr>
        <w:t>在</w:t>
      </w:r>
      <w:r>
        <w:t>落实单位的工作时间</w:t>
      </w:r>
      <w:r>
        <w:rPr>
          <w:rFonts w:hint="eastAsia"/>
        </w:rPr>
        <w:t>比较</w:t>
      </w:r>
    </w:p>
    <w:bookmarkEnd w:id="227"/>
    <w:p>
      <w:pPr>
        <w:pStyle w:val="41"/>
        <w:ind w:firstLine="480"/>
      </w:pPr>
    </w:p>
    <w:p>
      <w:pPr>
        <w:pStyle w:val="67"/>
        <w:spacing w:before="156" w:after="156"/>
        <w:ind w:left="240"/>
      </w:pPr>
      <w:bookmarkStart w:id="228" w:name="_Toc486857500"/>
      <w:r>
        <w:rPr>
          <w:rFonts w:hint="eastAsia"/>
        </w:rPr>
        <w:t>10.人职匹配情况</w:t>
      </w:r>
      <w:bookmarkEnd w:id="228"/>
    </w:p>
    <w:p>
      <w:pPr>
        <w:pStyle w:val="70"/>
        <w:spacing w:before="156" w:after="156"/>
        <w:ind w:left="360"/>
      </w:pPr>
      <w:r>
        <w:rPr>
          <w:rFonts w:hint="eastAsia"/>
        </w:rPr>
        <w:t>（</w:t>
      </w:r>
      <w:r>
        <w:t>1</w:t>
      </w:r>
      <w:r>
        <w:rPr>
          <w:rFonts w:hint="eastAsia"/>
        </w:rPr>
        <w:t>）所学专业与工作的相关程度</w:t>
      </w:r>
    </w:p>
    <w:p>
      <w:pPr>
        <w:pStyle w:val="123"/>
        <w:ind w:firstLine="480"/>
      </w:pPr>
      <w:bookmarkStart w:id="229" w:name="PO_3221011"/>
      <w:bookmarkEnd w:id="229"/>
      <w:r>
        <w:rPr>
          <w:rFonts w:hint="eastAsia"/>
        </w:rPr>
        <w:t>对于专业与工作的相关度，表示目前的工作与所学专业匹配度“很相关”或“相关”的本科生占82.79%，认为专业匹配度“不相关”的本科生占3.97%。</w:t>
      </w:r>
    </w:p>
    <w:p>
      <w:pPr>
        <w:jc w:val="center"/>
      </w:pPr>
      <w:bookmarkStart w:id="230" w:name="PO_3221012"/>
      <w:bookmarkEnd w:id="230"/>
      <w:r>
        <w:rPr>
          <w:rFonts w:hint="eastAsia"/>
        </w:rPr>
        <w:drawing>
          <wp:inline distT="0" distB="0" distL="0" distR="0">
            <wp:extent cx="5007610" cy="2286000"/>
            <wp:effectExtent l="0" t="0" r="2540" b="0"/>
            <wp:docPr id="2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pStyle w:val="107"/>
        <w:spacing w:before="156" w:after="312"/>
      </w:pPr>
      <w:r>
        <w:rPr>
          <w:rFonts w:hint="eastAsia"/>
        </w:rPr>
        <w:t>本科生所学专业与工作相关程度</w:t>
      </w:r>
    </w:p>
    <w:p>
      <w:pPr>
        <w:pStyle w:val="123"/>
        <w:ind w:firstLine="482"/>
      </w:pPr>
      <w:r>
        <w:rPr>
          <w:rFonts w:hint="eastAsia"/>
          <w:b/>
        </w:rPr>
        <w:t>就专业</w:t>
      </w:r>
      <w:r>
        <w:rPr>
          <w:b/>
        </w:rPr>
        <w:t>而言</w:t>
      </w:r>
      <w:r>
        <w:t>，</w:t>
      </w:r>
      <w:bookmarkStart w:id="231" w:name="PO_3221014"/>
      <w:bookmarkEnd w:id="231"/>
      <w:r>
        <w:rPr>
          <w:rFonts w:hint="eastAsia"/>
        </w:rPr>
        <w:t>方差检验显示，不同专业的本科生对所学专业与工作相关程度的评价存在非常显著差异（F=3.58，p&lt;0.001）。其中，导演（演出制作）、表演（戏剧影视表演）和戏剧影视文学(电视剧创作)专业本科生的专业匹配度相对较高。</w:t>
      </w:r>
    </w:p>
    <w:p>
      <w:pPr>
        <w:pStyle w:val="41"/>
        <w:ind w:firstLine="480"/>
      </w:pPr>
      <w:bookmarkStart w:id="232" w:name="PO_3221015"/>
      <w:bookmarkEnd w:id="232"/>
    </w:p>
    <w:p>
      <w:pPr>
        <w:jc w:val="center"/>
      </w:pPr>
      <w:bookmarkStart w:id="233" w:name="PO_3221016"/>
      <w:bookmarkEnd w:id="233"/>
      <w:r>
        <w:rPr>
          <w:rFonts w:hint="eastAsia"/>
        </w:rPr>
        <w:drawing>
          <wp:inline distT="0" distB="0" distL="0" distR="0">
            <wp:extent cx="5828665" cy="2374265"/>
            <wp:effectExtent l="19050" t="0" r="19335" b="6539"/>
            <wp:docPr id="2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pStyle w:val="107"/>
        <w:spacing w:before="156" w:after="312"/>
      </w:pPr>
      <w:r>
        <w:rPr>
          <w:rFonts w:hint="eastAsia"/>
        </w:rPr>
        <w:t>不同专业本科生所学专业与工作相关程度</w:t>
      </w:r>
    </w:p>
    <w:p>
      <w:pPr>
        <w:pStyle w:val="41"/>
        <w:ind w:firstLine="482"/>
      </w:pPr>
      <w:bookmarkStart w:id="234" w:name="_Hlk497403125"/>
      <w:r>
        <w:rPr>
          <w:rFonts w:hint="eastAsia"/>
          <w:b/>
        </w:rPr>
        <w:t>与2016届</w:t>
      </w:r>
      <w:r>
        <w:rPr>
          <w:b/>
        </w:rPr>
        <w:t>相比</w:t>
      </w:r>
      <w:r>
        <w:t>，</w:t>
      </w:r>
      <w:r>
        <w:rPr>
          <w:rFonts w:hint="eastAsia"/>
        </w:rPr>
        <w:t>2017届</w:t>
      </w:r>
      <w:r>
        <w:t>本科生所学专</w:t>
      </w:r>
      <w:r>
        <w:rPr>
          <w:rFonts w:asciiTheme="minorEastAsia" w:hAnsiTheme="minorEastAsia" w:eastAsiaTheme="minorEastAsia"/>
        </w:rPr>
        <w:t>业与工作</w:t>
      </w:r>
      <w:r>
        <w:rPr>
          <w:rFonts w:hint="eastAsia" w:asciiTheme="minorEastAsia" w:hAnsiTheme="minorEastAsia" w:eastAsiaTheme="minorEastAsia"/>
        </w:rPr>
        <w:t>的</w:t>
      </w:r>
      <w:r>
        <w:rPr>
          <w:rFonts w:asciiTheme="minorEastAsia" w:hAnsiTheme="minorEastAsia" w:eastAsiaTheme="minorEastAsia"/>
        </w:rPr>
        <w:t>匹配相关程度略低于</w:t>
      </w:r>
      <w:r>
        <w:rPr>
          <w:rFonts w:hint="eastAsia" w:asciiTheme="minorEastAsia" w:hAnsiTheme="minorEastAsia" w:eastAsiaTheme="minorEastAsia"/>
        </w:rPr>
        <w:t>2016届本科生</w:t>
      </w:r>
      <w:r>
        <w:rPr>
          <w:rFonts w:hint="eastAsia"/>
        </w:rPr>
        <w:t>。</w:t>
      </w:r>
    </w:p>
    <w:p>
      <w:pPr>
        <w:pStyle w:val="41"/>
        <w:ind w:firstLine="480"/>
        <w:jc w:val="center"/>
      </w:pPr>
      <w:r>
        <w:rPr>
          <w:rFonts w:hint="eastAsia"/>
        </w:rPr>
        <w:drawing>
          <wp:inline distT="0" distB="0" distL="0" distR="0">
            <wp:extent cx="4821555" cy="2570480"/>
            <wp:effectExtent l="0" t="0" r="0" b="0"/>
            <wp:docPr id="42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pPr>
        <w:pStyle w:val="107"/>
        <w:spacing w:before="156" w:after="312"/>
      </w:pPr>
      <w:r>
        <w:rPr>
          <w:rFonts w:hint="eastAsia"/>
        </w:rPr>
        <w:t>2016届</w:t>
      </w:r>
      <w:r>
        <w:t>与</w:t>
      </w:r>
      <w:r>
        <w:rPr>
          <w:rFonts w:hint="eastAsia"/>
        </w:rPr>
        <w:t>2017届</w:t>
      </w:r>
      <w:r>
        <w:t>本科生所学专业与工作相关程度的</w:t>
      </w:r>
      <w:r>
        <w:rPr>
          <w:rFonts w:hint="eastAsia"/>
        </w:rPr>
        <w:t>比较</w:t>
      </w:r>
    </w:p>
    <w:bookmarkEnd w:id="234"/>
    <w:p>
      <w:pPr>
        <w:pStyle w:val="41"/>
        <w:ind w:firstLine="480"/>
      </w:pPr>
    </w:p>
    <w:p>
      <w:pPr>
        <w:pStyle w:val="70"/>
        <w:spacing w:before="156" w:after="156"/>
        <w:ind w:left="360"/>
      </w:pPr>
      <w:r>
        <w:rPr>
          <w:rFonts w:hint="eastAsia"/>
        </w:rPr>
        <w:t>（2）教育层次与工作的适配情况</w:t>
      </w:r>
    </w:p>
    <w:p>
      <w:pPr>
        <w:pStyle w:val="123"/>
        <w:ind w:firstLine="480"/>
      </w:pPr>
      <w:bookmarkStart w:id="235" w:name="PO_3221021"/>
      <w:bookmarkEnd w:id="235"/>
      <w:r>
        <w:rPr>
          <w:rFonts w:hint="eastAsia"/>
        </w:rPr>
        <w:t>从教育层次与岗位要求的匹配程度看，68.21%的本科生认为教育层次恰好满足岗位要求，认为教育层次高于岗位要求的占28.48%，认为教育层次低于岗位要求的占3.31%。</w:t>
      </w:r>
    </w:p>
    <w:p>
      <w:pPr>
        <w:jc w:val="center"/>
      </w:pPr>
      <w:bookmarkStart w:id="236" w:name="PO_3221022"/>
      <w:bookmarkEnd w:id="236"/>
      <w:r>
        <w:rPr>
          <w:rFonts w:hint="eastAsia"/>
        </w:rPr>
        <w:drawing>
          <wp:inline distT="0" distB="0" distL="0" distR="0">
            <wp:extent cx="5274310" cy="2426335"/>
            <wp:effectExtent l="0" t="0" r="0" b="0"/>
            <wp:docPr id="8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pStyle w:val="107"/>
        <w:spacing w:before="156" w:after="312"/>
      </w:pPr>
      <w:r>
        <w:rPr>
          <w:rFonts w:hint="eastAsia"/>
        </w:rPr>
        <w:t>本科生教育层次与工作的适配情况</w:t>
      </w:r>
    </w:p>
    <w:p>
      <w:pPr>
        <w:pStyle w:val="41"/>
        <w:ind w:firstLine="480"/>
      </w:pPr>
    </w:p>
    <w:p>
      <w:pPr>
        <w:pStyle w:val="41"/>
        <w:ind w:firstLine="480"/>
      </w:pPr>
    </w:p>
    <w:p>
      <w:pPr>
        <w:pStyle w:val="123"/>
        <w:ind w:firstLine="482"/>
      </w:pPr>
      <w:r>
        <w:rPr>
          <w:rFonts w:hint="eastAsia"/>
          <w:b/>
        </w:rPr>
        <w:t>就专业而言</w:t>
      </w:r>
      <w:r>
        <w:rPr>
          <w:rFonts w:hint="eastAsia"/>
        </w:rPr>
        <w:t>，</w:t>
      </w:r>
      <w:bookmarkStart w:id="237" w:name="PO_3221024"/>
      <w:bookmarkEnd w:id="237"/>
      <w:r>
        <w:rPr>
          <w:rFonts w:hint="eastAsia"/>
        </w:rPr>
        <w:t>方差</w:t>
      </w:r>
      <w:r>
        <w:t>检验显示</w:t>
      </w:r>
      <w:r>
        <w:rPr>
          <w:rFonts w:hint="eastAsia"/>
        </w:rPr>
        <w:t>，不同专业本科生的教育层次与工作适配情况不存在显著差异（</w:t>
      </w:r>
      <m:oMath>
        <m:sSup>
          <m:sSupPr>
            <m:ctrlPr>
              <w:rPr>
                <w:rFonts w:ascii="Cambria Math" w:hAnsi="Cambria Math"/>
                <w:color w:val="000000" w:themeColor="text1"/>
              </w:rPr>
            </m:ctrlPr>
          </m:sSupPr>
          <m:e>
            <m:r>
              <w:rPr>
                <w:rFonts w:ascii="Cambria Math" w:hAnsi="Cambria Math"/>
                <w:color w:val="000000" w:themeColor="text1"/>
              </w:rPr>
              <m:t>χ</m:t>
            </m:r>
            <m:ctrlPr>
              <w:rPr>
                <w:rFonts w:ascii="Cambria Math" w:hAnsi="Cambria Math"/>
                <w:color w:val="000000" w:themeColor="text1"/>
              </w:rPr>
            </m:ctrlPr>
          </m:e>
          <m:sup>
            <m:r>
              <w:rPr>
                <w:rFonts w:ascii="Cambria Math" w:hAnsi="Cambria Math"/>
                <w:color w:val="000000" w:themeColor="text1"/>
              </w:rPr>
              <m:t>2</m:t>
            </m:r>
            <m:ctrlPr>
              <w:rPr>
                <w:rFonts w:ascii="Cambria Math" w:hAnsi="Cambria Math"/>
                <w:color w:val="000000" w:themeColor="text1"/>
              </w:rPr>
            </m:ctrlPr>
          </m:sup>
        </m:sSup>
      </m:oMath>
      <w:r>
        <w:rPr>
          <w:rFonts w:hint="eastAsia"/>
        </w:rPr>
        <w:t>=20.17，p&gt;0.05）。</w:t>
      </w:r>
    </w:p>
    <w:p>
      <w:pPr>
        <w:pStyle w:val="55"/>
        <w:spacing w:before="312" w:after="156"/>
      </w:pPr>
      <w:bookmarkStart w:id="238" w:name="PO_3221026"/>
      <w:bookmarkEnd w:id="238"/>
      <w:bookmarkStart w:id="239" w:name="PO_3221025"/>
      <w:bookmarkEnd w:id="239"/>
      <w:r>
        <w:rPr>
          <w:rFonts w:hint="eastAsia"/>
        </w:rPr>
        <w:t>不同专业本科生教育层次与工作的适配情况（%）</w:t>
      </w:r>
    </w:p>
    <w:tbl>
      <w:tblPr>
        <w:tblStyle w:val="125"/>
        <w:tblW w:w="6915" w:type="dxa"/>
        <w:jc w:val="center"/>
        <w:tblInd w:w="1248"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3784"/>
        <w:gridCol w:w="993"/>
        <w:gridCol w:w="1134"/>
        <w:gridCol w:w="1004"/>
      </w:tblGrid>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504" w:hRule="atLeast"/>
          <w:jc w:val="center"/>
        </w:trPr>
        <w:tc>
          <w:tcPr>
            <w:tcW w:w="3784" w:type="dxa"/>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hint="eastAsia" w:cs="Times New Roman"/>
                <w:b/>
                <w:bCs/>
                <w:color w:val="FFFFFF" w:themeColor="background1"/>
                <w:kern w:val="0"/>
                <w:sz w:val="21"/>
                <w:szCs w:val="21"/>
              </w:rPr>
              <w:t>专业</w:t>
            </w:r>
          </w:p>
        </w:tc>
        <w:tc>
          <w:tcPr>
            <w:tcW w:w="993" w:type="dxa"/>
            <w:tcBorders>
              <w:top w:val="single" w:color="4BACC6" w:themeColor="accent5" w:sz="4" w:space="0"/>
              <w:bottom w:val="single" w:color="4BACC6" w:themeColor="accent5" w:sz="4" w:space="0"/>
              <w:right w:val="nil"/>
              <w:insideH w:val="single" w:sz="4" w:space="0"/>
              <w:insideV w:val="nil"/>
            </w:tcBorders>
            <w:shd w:val="clear" w:color="auto" w:fill="4BACC6" w:themeFill="accent5"/>
          </w:tcPr>
          <w:p>
            <w:pPr>
              <w:widowControl/>
              <w:jc w:val="center"/>
              <w:rPr>
                <w:rFonts w:cs="Times New Roman"/>
                <w:b/>
                <w:bCs/>
                <w:color w:val="FFFFFF" w:themeColor="background1"/>
                <w:kern w:val="0"/>
                <w:sz w:val="21"/>
                <w:szCs w:val="21"/>
              </w:rPr>
            </w:pPr>
            <w:r>
              <w:rPr>
                <w:rFonts w:hint="eastAsia"/>
                <w:b/>
                <w:bCs/>
                <w:color w:val="FFFFFF" w:themeColor="background1"/>
                <w:sz w:val="21"/>
              </w:rPr>
              <w:t>高于岗位要求</w:t>
            </w:r>
          </w:p>
        </w:tc>
        <w:tc>
          <w:tcPr>
            <w:tcW w:w="1134" w:type="dxa"/>
            <w:tcBorders>
              <w:top w:val="single" w:color="4BACC6" w:themeColor="accent5" w:sz="4" w:space="0"/>
              <w:bottom w:val="single" w:color="4BACC6" w:themeColor="accent5" w:sz="4" w:space="0"/>
              <w:right w:val="nil"/>
              <w:insideH w:val="single" w:sz="4" w:space="0"/>
              <w:insideV w:val="nil"/>
            </w:tcBorders>
            <w:shd w:val="clear" w:color="auto" w:fill="4BACC6" w:themeFill="accent5"/>
          </w:tcPr>
          <w:p>
            <w:pPr>
              <w:widowControl/>
              <w:jc w:val="center"/>
              <w:rPr>
                <w:rFonts w:cs="Times New Roman"/>
                <w:b/>
                <w:bCs/>
                <w:color w:val="FFFFFF" w:themeColor="background1"/>
                <w:kern w:val="0"/>
                <w:sz w:val="21"/>
                <w:szCs w:val="21"/>
              </w:rPr>
            </w:pPr>
            <w:r>
              <w:rPr>
                <w:rFonts w:hint="eastAsia"/>
                <w:b/>
                <w:bCs/>
                <w:color w:val="FFFFFF" w:themeColor="background1"/>
                <w:sz w:val="21"/>
              </w:rPr>
              <w:t>恰好满足岗位要求</w:t>
            </w:r>
          </w:p>
        </w:tc>
        <w:tc>
          <w:tcPr>
            <w:tcW w:w="1004" w:type="dxa"/>
            <w:tcBorders>
              <w:top w:val="single" w:color="4BACC6" w:themeColor="accent5" w:sz="4" w:space="0"/>
              <w:bottom w:val="single" w:color="4BACC6" w:themeColor="accent5" w:sz="4" w:space="0"/>
              <w:right w:val="single" w:color="4BACC6" w:themeColor="accent5" w:sz="4" w:space="0"/>
              <w:insideH w:val="single" w:sz="4" w:space="0"/>
              <w:insideV w:val="nil"/>
            </w:tcBorders>
            <w:shd w:val="clear" w:color="auto" w:fill="4BACC6" w:themeFill="accent5"/>
          </w:tcPr>
          <w:p>
            <w:pPr>
              <w:widowControl/>
              <w:jc w:val="center"/>
              <w:rPr>
                <w:rFonts w:cs="Times New Roman"/>
                <w:b/>
                <w:bCs/>
                <w:color w:val="FFFFFF" w:themeColor="background1"/>
                <w:kern w:val="0"/>
                <w:sz w:val="21"/>
                <w:szCs w:val="21"/>
              </w:rPr>
            </w:pPr>
            <w:r>
              <w:rPr>
                <w:rFonts w:hint="eastAsia"/>
                <w:b/>
                <w:bCs/>
                <w:color w:val="FFFFFF" w:themeColor="background1"/>
                <w:sz w:val="21"/>
              </w:rPr>
              <w:t>低于岗位要求</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9" w:hRule="atLeast"/>
          <w:jc w:val="center"/>
        </w:trPr>
        <w:tc>
          <w:tcPr>
            <w:tcW w:w="3784" w:type="dxa"/>
            <w:shd w:val="clear" w:color="auto" w:fill="DAEEF3" w:themeFill="accent5" w:themeFillTint="33"/>
            <w:vAlign w:val="center"/>
          </w:tcPr>
          <w:p>
            <w:pPr>
              <w:widowControl/>
              <w:rPr>
                <w:rFonts w:ascii="Times New Roman" w:hAnsi="Times New Roman" w:cs="Times New Roman"/>
                <w:b/>
                <w:bCs/>
                <w:color w:val="000000"/>
                <w:kern w:val="0"/>
                <w:sz w:val="21"/>
                <w:szCs w:val="21"/>
              </w:rPr>
            </w:pPr>
            <w:r>
              <w:rPr>
                <w:rFonts w:hint="eastAsia" w:ascii="宋体" w:eastAsia="宋体" w:cs="宋体"/>
                <w:b/>
                <w:bCs/>
                <w:color w:val="000000"/>
                <w:kern w:val="0"/>
                <w:sz w:val="21"/>
                <w:szCs w:val="21"/>
              </w:rPr>
              <w:t>表演</w:t>
            </w:r>
          </w:p>
        </w:tc>
        <w:tc>
          <w:tcPr>
            <w:tcW w:w="993"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sz w:val="21"/>
              </w:rPr>
              <w:t>25.00</w:t>
            </w:r>
          </w:p>
        </w:tc>
        <w:tc>
          <w:tcPr>
            <w:tcW w:w="1134"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75.00</w:t>
            </w:r>
          </w:p>
        </w:tc>
        <w:tc>
          <w:tcPr>
            <w:tcW w:w="1004"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9" w:hRule="atLeast"/>
          <w:jc w:val="center"/>
        </w:trPr>
        <w:tc>
          <w:tcPr>
            <w:tcW w:w="3784" w:type="dxa"/>
            <w:vAlign w:val="center"/>
          </w:tcPr>
          <w:p>
            <w:pPr>
              <w:widowControl/>
              <w:rPr>
                <w:rFonts w:ascii="Times New Roman" w:hAnsi="Times New Roman" w:cs="Times New Roman"/>
                <w:b/>
                <w:bCs/>
                <w:color w:val="000000"/>
                <w:kern w:val="0"/>
                <w:sz w:val="21"/>
                <w:szCs w:val="21"/>
              </w:rPr>
            </w:pPr>
            <w:r>
              <w:rPr>
                <w:rFonts w:hint="eastAsia" w:ascii="宋体" w:eastAsia="宋体" w:cs="宋体"/>
                <w:b/>
                <w:bCs/>
                <w:color w:val="000000"/>
                <w:kern w:val="0"/>
                <w:sz w:val="21"/>
                <w:szCs w:val="21"/>
              </w:rPr>
              <w:t>表演（戏剧影视表演）</w:t>
            </w:r>
          </w:p>
        </w:tc>
        <w:tc>
          <w:tcPr>
            <w:tcW w:w="993"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sz w:val="21"/>
              </w:rPr>
              <w:t>32.26</w:t>
            </w:r>
          </w:p>
        </w:tc>
        <w:tc>
          <w:tcPr>
            <w:tcW w:w="1134" w:type="dxa"/>
            <w:vAlign w:val="center"/>
          </w:tcPr>
          <w:p>
            <w:pPr>
              <w:widowControl/>
              <w:jc w:val="center"/>
              <w:rPr>
                <w:rFonts w:ascii="Times New Roman" w:hAnsi="Times New Roman" w:cs="Times New Roman"/>
                <w:sz w:val="21"/>
              </w:rPr>
            </w:pPr>
            <w:r>
              <w:rPr>
                <w:rFonts w:ascii="Times New Roman" w:hAnsi="Times New Roman" w:cs="Times New Roman"/>
                <w:sz w:val="21"/>
              </w:rPr>
              <w:t>67.74</w:t>
            </w:r>
          </w:p>
        </w:tc>
        <w:tc>
          <w:tcPr>
            <w:tcW w:w="1004" w:type="dxa"/>
            <w:vAlign w:val="center"/>
          </w:tcPr>
          <w:p>
            <w:pPr>
              <w:widowControl/>
              <w:jc w:val="center"/>
              <w:rPr>
                <w:rFonts w:ascii="Times New Roman" w:hAnsi="Times New Roman" w:cs="Times New Roman"/>
                <w:sz w:val="21"/>
              </w:rPr>
            </w:pPr>
            <w:r>
              <w:rPr>
                <w:rFonts w:ascii="Times New Roman" w:hAnsi="Times New Roman" w:cs="Times New Roman"/>
                <w:sz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9" w:hRule="atLeast"/>
          <w:jc w:val="center"/>
        </w:trPr>
        <w:tc>
          <w:tcPr>
            <w:tcW w:w="3784" w:type="dxa"/>
            <w:shd w:val="clear" w:color="auto" w:fill="DAEEF3" w:themeFill="accent5" w:themeFillTint="33"/>
            <w:vAlign w:val="center"/>
          </w:tcPr>
          <w:p>
            <w:pPr>
              <w:widowControl/>
              <w:rPr>
                <w:rFonts w:ascii="宋体" w:eastAsia="宋体" w:cs="宋体"/>
                <w:b/>
                <w:bCs/>
                <w:color w:val="000000"/>
                <w:kern w:val="0"/>
                <w:sz w:val="21"/>
                <w:szCs w:val="21"/>
              </w:rPr>
            </w:pPr>
            <w:r>
              <w:rPr>
                <w:rFonts w:hint="eastAsia" w:ascii="宋体" w:eastAsia="宋体" w:cs="宋体"/>
                <w:b/>
                <w:bCs/>
                <w:color w:val="000000"/>
                <w:kern w:val="0"/>
                <w:sz w:val="21"/>
                <w:szCs w:val="21"/>
              </w:rPr>
              <w:t>表演（音乐剧）</w:t>
            </w:r>
          </w:p>
        </w:tc>
        <w:tc>
          <w:tcPr>
            <w:tcW w:w="993"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21.05</w:t>
            </w:r>
          </w:p>
        </w:tc>
        <w:tc>
          <w:tcPr>
            <w:tcW w:w="1134"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78.95</w:t>
            </w:r>
          </w:p>
        </w:tc>
        <w:tc>
          <w:tcPr>
            <w:tcW w:w="1004"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9" w:hRule="atLeast"/>
          <w:jc w:val="center"/>
        </w:trPr>
        <w:tc>
          <w:tcPr>
            <w:tcW w:w="3784" w:type="dxa"/>
            <w:vAlign w:val="center"/>
          </w:tcPr>
          <w:p>
            <w:pPr>
              <w:widowControl/>
              <w:rPr>
                <w:rFonts w:ascii="宋体" w:eastAsia="宋体" w:cs="宋体"/>
                <w:b/>
                <w:bCs/>
                <w:color w:val="000000"/>
                <w:kern w:val="0"/>
                <w:sz w:val="21"/>
                <w:szCs w:val="21"/>
              </w:rPr>
            </w:pPr>
            <w:r>
              <w:rPr>
                <w:rFonts w:hint="eastAsia" w:ascii="宋体" w:eastAsia="宋体" w:cs="宋体"/>
                <w:b/>
                <w:bCs/>
                <w:color w:val="000000"/>
                <w:kern w:val="0"/>
                <w:sz w:val="21"/>
                <w:szCs w:val="21"/>
              </w:rPr>
              <w:t>导演（演出制作）</w:t>
            </w:r>
          </w:p>
        </w:tc>
        <w:tc>
          <w:tcPr>
            <w:tcW w:w="993" w:type="dxa"/>
            <w:vAlign w:val="center"/>
          </w:tcPr>
          <w:p>
            <w:pPr>
              <w:widowControl/>
              <w:jc w:val="center"/>
              <w:rPr>
                <w:rFonts w:ascii="Times New Roman" w:hAnsi="Times New Roman" w:cs="Times New Roman"/>
                <w:sz w:val="21"/>
              </w:rPr>
            </w:pPr>
            <w:r>
              <w:rPr>
                <w:rFonts w:ascii="Times New Roman" w:hAnsi="Times New Roman" w:cs="Times New Roman"/>
                <w:sz w:val="21"/>
              </w:rPr>
              <w:t>0.00</w:t>
            </w:r>
          </w:p>
        </w:tc>
        <w:tc>
          <w:tcPr>
            <w:tcW w:w="1134" w:type="dxa"/>
            <w:vAlign w:val="center"/>
          </w:tcPr>
          <w:p>
            <w:pPr>
              <w:widowControl/>
              <w:jc w:val="center"/>
              <w:rPr>
                <w:rFonts w:ascii="Times New Roman" w:hAnsi="Times New Roman" w:cs="Times New Roman"/>
                <w:sz w:val="21"/>
              </w:rPr>
            </w:pPr>
            <w:r>
              <w:rPr>
                <w:rFonts w:ascii="Times New Roman" w:hAnsi="Times New Roman" w:cs="Times New Roman"/>
                <w:sz w:val="21"/>
              </w:rPr>
              <w:t>100.00</w:t>
            </w:r>
          </w:p>
        </w:tc>
        <w:tc>
          <w:tcPr>
            <w:tcW w:w="1004" w:type="dxa"/>
            <w:vAlign w:val="center"/>
          </w:tcPr>
          <w:p>
            <w:pPr>
              <w:widowControl/>
              <w:jc w:val="center"/>
              <w:rPr>
                <w:rFonts w:ascii="Times New Roman" w:hAnsi="Times New Roman" w:cs="Times New Roman"/>
                <w:sz w:val="21"/>
              </w:rPr>
            </w:pPr>
            <w:r>
              <w:rPr>
                <w:rFonts w:ascii="Times New Roman" w:hAnsi="Times New Roman" w:cs="Times New Roman"/>
                <w:sz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9" w:hRule="atLeast"/>
          <w:jc w:val="center"/>
        </w:trPr>
        <w:tc>
          <w:tcPr>
            <w:tcW w:w="3784" w:type="dxa"/>
            <w:shd w:val="clear" w:color="auto" w:fill="DAEEF3" w:themeFill="accent5" w:themeFillTint="33"/>
            <w:vAlign w:val="center"/>
          </w:tcPr>
          <w:p>
            <w:pPr>
              <w:widowControl/>
              <w:rPr>
                <w:rFonts w:ascii="宋体" w:eastAsia="宋体" w:cs="宋体"/>
                <w:b/>
                <w:bCs/>
                <w:color w:val="000000"/>
                <w:kern w:val="0"/>
                <w:sz w:val="21"/>
                <w:szCs w:val="21"/>
              </w:rPr>
            </w:pPr>
            <w:r>
              <w:rPr>
                <w:rFonts w:hint="eastAsia" w:ascii="宋体" w:eastAsia="宋体" w:cs="宋体"/>
                <w:b/>
                <w:bCs/>
                <w:color w:val="000000"/>
                <w:kern w:val="0"/>
                <w:sz w:val="21"/>
                <w:szCs w:val="21"/>
              </w:rPr>
              <w:t>导演（影视编导）</w:t>
            </w:r>
          </w:p>
        </w:tc>
        <w:tc>
          <w:tcPr>
            <w:tcW w:w="993"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33.33</w:t>
            </w:r>
          </w:p>
        </w:tc>
        <w:tc>
          <w:tcPr>
            <w:tcW w:w="1134"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66.67</w:t>
            </w:r>
          </w:p>
        </w:tc>
        <w:tc>
          <w:tcPr>
            <w:tcW w:w="1004"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9" w:hRule="atLeast"/>
          <w:jc w:val="center"/>
        </w:trPr>
        <w:tc>
          <w:tcPr>
            <w:tcW w:w="3784" w:type="dxa"/>
            <w:vAlign w:val="center"/>
          </w:tcPr>
          <w:p>
            <w:pPr>
              <w:widowControl/>
              <w:rPr>
                <w:rFonts w:ascii="宋体" w:eastAsia="宋体" w:cs="宋体"/>
                <w:b/>
                <w:bCs/>
                <w:color w:val="000000"/>
                <w:kern w:val="0"/>
                <w:sz w:val="21"/>
                <w:szCs w:val="21"/>
              </w:rPr>
            </w:pPr>
            <w:r>
              <w:rPr>
                <w:rFonts w:hint="eastAsia" w:ascii="宋体" w:eastAsia="宋体" w:cs="宋体"/>
                <w:b/>
                <w:bCs/>
                <w:color w:val="000000"/>
                <w:kern w:val="0"/>
                <w:sz w:val="21"/>
                <w:szCs w:val="21"/>
              </w:rPr>
              <w:t>戏剧学(戏剧史论与批评)</w:t>
            </w:r>
          </w:p>
        </w:tc>
        <w:tc>
          <w:tcPr>
            <w:tcW w:w="993" w:type="dxa"/>
            <w:vAlign w:val="center"/>
          </w:tcPr>
          <w:p>
            <w:pPr>
              <w:widowControl/>
              <w:jc w:val="center"/>
              <w:rPr>
                <w:rFonts w:ascii="Times New Roman" w:hAnsi="Times New Roman" w:cs="Times New Roman"/>
                <w:sz w:val="21"/>
              </w:rPr>
            </w:pPr>
            <w:r>
              <w:rPr>
                <w:rFonts w:ascii="Times New Roman" w:hAnsi="Times New Roman" w:cs="Times New Roman"/>
                <w:sz w:val="21"/>
              </w:rPr>
              <w:t>30.00</w:t>
            </w:r>
          </w:p>
        </w:tc>
        <w:tc>
          <w:tcPr>
            <w:tcW w:w="1134" w:type="dxa"/>
            <w:vAlign w:val="center"/>
          </w:tcPr>
          <w:p>
            <w:pPr>
              <w:widowControl/>
              <w:jc w:val="center"/>
              <w:rPr>
                <w:rFonts w:ascii="Times New Roman" w:hAnsi="Times New Roman" w:cs="Times New Roman"/>
                <w:sz w:val="21"/>
              </w:rPr>
            </w:pPr>
            <w:r>
              <w:rPr>
                <w:rFonts w:ascii="Times New Roman" w:hAnsi="Times New Roman" w:cs="Times New Roman"/>
                <w:sz w:val="21"/>
              </w:rPr>
              <w:t>70.00</w:t>
            </w:r>
          </w:p>
        </w:tc>
        <w:tc>
          <w:tcPr>
            <w:tcW w:w="1004" w:type="dxa"/>
            <w:vAlign w:val="center"/>
          </w:tcPr>
          <w:p>
            <w:pPr>
              <w:widowControl/>
              <w:jc w:val="center"/>
              <w:rPr>
                <w:rFonts w:ascii="Times New Roman" w:hAnsi="Times New Roman" w:cs="Times New Roman"/>
                <w:sz w:val="21"/>
              </w:rPr>
            </w:pPr>
            <w:r>
              <w:rPr>
                <w:rFonts w:ascii="Times New Roman" w:hAnsi="Times New Roman" w:cs="Times New Roman"/>
                <w:sz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9" w:hRule="atLeast"/>
          <w:jc w:val="center"/>
        </w:trPr>
        <w:tc>
          <w:tcPr>
            <w:tcW w:w="3784" w:type="dxa"/>
            <w:shd w:val="clear" w:color="auto" w:fill="DAEEF3" w:themeFill="accent5" w:themeFillTint="33"/>
            <w:vAlign w:val="center"/>
          </w:tcPr>
          <w:p>
            <w:pPr>
              <w:widowControl/>
              <w:rPr>
                <w:rFonts w:ascii="宋体" w:eastAsia="宋体" w:cs="宋体"/>
                <w:b/>
                <w:bCs/>
                <w:color w:val="000000"/>
                <w:kern w:val="0"/>
                <w:sz w:val="21"/>
                <w:szCs w:val="21"/>
              </w:rPr>
            </w:pPr>
            <w:r>
              <w:rPr>
                <w:rFonts w:hint="eastAsia" w:ascii="宋体" w:eastAsia="宋体" w:cs="宋体"/>
                <w:b/>
                <w:bCs/>
                <w:color w:val="000000"/>
                <w:kern w:val="0"/>
                <w:sz w:val="21"/>
                <w:szCs w:val="21"/>
              </w:rPr>
              <w:t>戏剧影视导演</w:t>
            </w:r>
          </w:p>
        </w:tc>
        <w:tc>
          <w:tcPr>
            <w:tcW w:w="993"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37.84</w:t>
            </w:r>
          </w:p>
        </w:tc>
        <w:tc>
          <w:tcPr>
            <w:tcW w:w="1134"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56.76</w:t>
            </w:r>
          </w:p>
        </w:tc>
        <w:tc>
          <w:tcPr>
            <w:tcW w:w="1004"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5.41</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9" w:hRule="atLeast"/>
          <w:jc w:val="center"/>
        </w:trPr>
        <w:tc>
          <w:tcPr>
            <w:tcW w:w="3784" w:type="dxa"/>
            <w:vAlign w:val="center"/>
          </w:tcPr>
          <w:p>
            <w:pPr>
              <w:widowControl/>
              <w:rPr>
                <w:rFonts w:ascii="宋体" w:eastAsia="宋体" w:cs="宋体"/>
                <w:b/>
                <w:bCs/>
                <w:color w:val="000000"/>
                <w:kern w:val="0"/>
                <w:sz w:val="21"/>
                <w:szCs w:val="21"/>
              </w:rPr>
            </w:pPr>
            <w:r>
              <w:rPr>
                <w:rFonts w:hint="eastAsia" w:ascii="宋体" w:eastAsia="宋体" w:cs="宋体"/>
                <w:b/>
                <w:bCs/>
                <w:color w:val="000000"/>
                <w:kern w:val="0"/>
                <w:sz w:val="21"/>
                <w:szCs w:val="21"/>
              </w:rPr>
              <w:t>戏剧影视美术设计(舞台灯光)</w:t>
            </w:r>
          </w:p>
        </w:tc>
        <w:tc>
          <w:tcPr>
            <w:tcW w:w="993" w:type="dxa"/>
            <w:vAlign w:val="center"/>
          </w:tcPr>
          <w:p>
            <w:pPr>
              <w:widowControl/>
              <w:jc w:val="center"/>
              <w:rPr>
                <w:rFonts w:ascii="Times New Roman" w:hAnsi="Times New Roman" w:cs="Times New Roman"/>
                <w:sz w:val="21"/>
              </w:rPr>
            </w:pPr>
            <w:r>
              <w:rPr>
                <w:rFonts w:ascii="Times New Roman" w:hAnsi="Times New Roman" w:cs="Times New Roman"/>
                <w:sz w:val="21"/>
              </w:rPr>
              <w:t>25.00</w:t>
            </w:r>
          </w:p>
        </w:tc>
        <w:tc>
          <w:tcPr>
            <w:tcW w:w="1134" w:type="dxa"/>
            <w:vAlign w:val="center"/>
          </w:tcPr>
          <w:p>
            <w:pPr>
              <w:widowControl/>
              <w:jc w:val="center"/>
              <w:rPr>
                <w:rFonts w:ascii="Times New Roman" w:hAnsi="Times New Roman" w:cs="Times New Roman"/>
                <w:sz w:val="21"/>
              </w:rPr>
            </w:pPr>
            <w:r>
              <w:rPr>
                <w:rFonts w:ascii="Times New Roman" w:hAnsi="Times New Roman" w:cs="Times New Roman"/>
                <w:sz w:val="21"/>
              </w:rPr>
              <w:t>62.50</w:t>
            </w:r>
          </w:p>
        </w:tc>
        <w:tc>
          <w:tcPr>
            <w:tcW w:w="1004" w:type="dxa"/>
            <w:vAlign w:val="center"/>
          </w:tcPr>
          <w:p>
            <w:pPr>
              <w:widowControl/>
              <w:jc w:val="center"/>
              <w:rPr>
                <w:rFonts w:ascii="Times New Roman" w:hAnsi="Times New Roman" w:cs="Times New Roman"/>
                <w:sz w:val="21"/>
              </w:rPr>
            </w:pPr>
            <w:r>
              <w:rPr>
                <w:rFonts w:ascii="Times New Roman" w:hAnsi="Times New Roman" w:cs="Times New Roman"/>
                <w:sz w:val="21"/>
              </w:rPr>
              <w:t>12.50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9" w:hRule="atLeast"/>
          <w:jc w:val="center"/>
        </w:trPr>
        <w:tc>
          <w:tcPr>
            <w:tcW w:w="3784" w:type="dxa"/>
            <w:shd w:val="clear" w:color="auto" w:fill="DAEEF3" w:themeFill="accent5" w:themeFillTint="33"/>
            <w:vAlign w:val="center"/>
          </w:tcPr>
          <w:p>
            <w:pPr>
              <w:widowControl/>
              <w:rPr>
                <w:rFonts w:ascii="宋体" w:eastAsia="宋体" w:cs="宋体"/>
                <w:b/>
                <w:bCs/>
                <w:color w:val="000000"/>
                <w:kern w:val="0"/>
                <w:sz w:val="21"/>
                <w:szCs w:val="21"/>
              </w:rPr>
            </w:pPr>
            <w:r>
              <w:rPr>
                <w:rFonts w:hint="eastAsia" w:ascii="宋体" w:eastAsia="宋体" w:cs="宋体"/>
                <w:b/>
                <w:bCs/>
                <w:color w:val="000000"/>
                <w:kern w:val="0"/>
                <w:sz w:val="21"/>
                <w:szCs w:val="21"/>
              </w:rPr>
              <w:t>戏剧影视美术设计(舞台服装)</w:t>
            </w:r>
          </w:p>
        </w:tc>
        <w:tc>
          <w:tcPr>
            <w:tcW w:w="993"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14.29</w:t>
            </w:r>
          </w:p>
        </w:tc>
        <w:tc>
          <w:tcPr>
            <w:tcW w:w="1134"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85.71</w:t>
            </w:r>
          </w:p>
        </w:tc>
        <w:tc>
          <w:tcPr>
            <w:tcW w:w="1004"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9" w:hRule="atLeast"/>
          <w:jc w:val="center"/>
        </w:trPr>
        <w:tc>
          <w:tcPr>
            <w:tcW w:w="3784" w:type="dxa"/>
            <w:vAlign w:val="center"/>
          </w:tcPr>
          <w:p>
            <w:pPr>
              <w:widowControl/>
              <w:rPr>
                <w:rFonts w:ascii="宋体" w:eastAsia="宋体" w:cs="宋体"/>
                <w:b/>
                <w:bCs/>
                <w:color w:val="000000"/>
                <w:kern w:val="0"/>
                <w:sz w:val="21"/>
                <w:szCs w:val="21"/>
              </w:rPr>
            </w:pPr>
            <w:r>
              <w:rPr>
                <w:rFonts w:hint="eastAsia" w:ascii="宋体" w:eastAsia="宋体" w:cs="宋体"/>
                <w:b/>
                <w:bCs/>
                <w:color w:val="000000"/>
                <w:kern w:val="0"/>
                <w:sz w:val="21"/>
                <w:szCs w:val="21"/>
              </w:rPr>
              <w:t>戏剧影视美术设计(舞台化装)</w:t>
            </w:r>
          </w:p>
        </w:tc>
        <w:tc>
          <w:tcPr>
            <w:tcW w:w="993" w:type="dxa"/>
            <w:vAlign w:val="center"/>
          </w:tcPr>
          <w:p>
            <w:pPr>
              <w:widowControl/>
              <w:jc w:val="center"/>
              <w:rPr>
                <w:rFonts w:ascii="Times New Roman" w:hAnsi="Times New Roman" w:cs="Times New Roman"/>
                <w:sz w:val="21"/>
              </w:rPr>
            </w:pPr>
            <w:r>
              <w:rPr>
                <w:rFonts w:ascii="Times New Roman" w:hAnsi="Times New Roman" w:cs="Times New Roman"/>
                <w:sz w:val="21"/>
              </w:rPr>
              <w:t>50.00</w:t>
            </w:r>
          </w:p>
        </w:tc>
        <w:tc>
          <w:tcPr>
            <w:tcW w:w="1134" w:type="dxa"/>
            <w:vAlign w:val="center"/>
          </w:tcPr>
          <w:p>
            <w:pPr>
              <w:widowControl/>
              <w:jc w:val="center"/>
              <w:rPr>
                <w:rFonts w:ascii="Times New Roman" w:hAnsi="Times New Roman" w:cs="Times New Roman"/>
                <w:sz w:val="21"/>
              </w:rPr>
            </w:pPr>
            <w:r>
              <w:rPr>
                <w:rFonts w:ascii="Times New Roman" w:hAnsi="Times New Roman" w:cs="Times New Roman"/>
                <w:sz w:val="21"/>
              </w:rPr>
              <w:t>37.50</w:t>
            </w:r>
          </w:p>
        </w:tc>
        <w:tc>
          <w:tcPr>
            <w:tcW w:w="1004" w:type="dxa"/>
            <w:vAlign w:val="center"/>
          </w:tcPr>
          <w:p>
            <w:pPr>
              <w:widowControl/>
              <w:jc w:val="center"/>
              <w:rPr>
                <w:rFonts w:ascii="Times New Roman" w:hAnsi="Times New Roman" w:cs="Times New Roman"/>
                <w:sz w:val="21"/>
              </w:rPr>
            </w:pPr>
            <w:r>
              <w:rPr>
                <w:rFonts w:ascii="Times New Roman" w:hAnsi="Times New Roman" w:cs="Times New Roman"/>
                <w:sz w:val="21"/>
              </w:rPr>
              <w:t>12.50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9" w:hRule="atLeast"/>
          <w:jc w:val="center"/>
        </w:trPr>
        <w:tc>
          <w:tcPr>
            <w:tcW w:w="3784" w:type="dxa"/>
            <w:shd w:val="clear" w:color="auto" w:fill="DAEEF3" w:themeFill="accent5" w:themeFillTint="33"/>
            <w:vAlign w:val="center"/>
          </w:tcPr>
          <w:p>
            <w:pPr>
              <w:widowControl/>
              <w:rPr>
                <w:rFonts w:ascii="宋体" w:eastAsia="宋体" w:cs="宋体"/>
                <w:b/>
                <w:bCs/>
                <w:color w:val="000000"/>
                <w:kern w:val="0"/>
                <w:sz w:val="21"/>
                <w:szCs w:val="21"/>
              </w:rPr>
            </w:pPr>
            <w:r>
              <w:rPr>
                <w:rFonts w:hint="eastAsia" w:ascii="宋体" w:eastAsia="宋体" w:cs="宋体"/>
                <w:b/>
                <w:bCs/>
                <w:color w:val="000000"/>
                <w:kern w:val="0"/>
                <w:sz w:val="21"/>
                <w:szCs w:val="21"/>
              </w:rPr>
              <w:t>戏剧影视美术设计(舞台技术)</w:t>
            </w:r>
          </w:p>
        </w:tc>
        <w:tc>
          <w:tcPr>
            <w:tcW w:w="993"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22.22</w:t>
            </w:r>
          </w:p>
        </w:tc>
        <w:tc>
          <w:tcPr>
            <w:tcW w:w="1134"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66.67</w:t>
            </w:r>
          </w:p>
        </w:tc>
        <w:tc>
          <w:tcPr>
            <w:tcW w:w="1004"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11.11</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9" w:hRule="atLeast"/>
          <w:jc w:val="center"/>
        </w:trPr>
        <w:tc>
          <w:tcPr>
            <w:tcW w:w="3784" w:type="dxa"/>
            <w:vAlign w:val="center"/>
          </w:tcPr>
          <w:p>
            <w:pPr>
              <w:widowControl/>
              <w:rPr>
                <w:rFonts w:ascii="宋体" w:eastAsia="宋体" w:cs="宋体"/>
                <w:b/>
                <w:bCs/>
                <w:color w:val="000000"/>
                <w:kern w:val="0"/>
                <w:sz w:val="21"/>
                <w:szCs w:val="21"/>
              </w:rPr>
            </w:pPr>
            <w:r>
              <w:rPr>
                <w:rFonts w:hint="eastAsia" w:ascii="宋体" w:eastAsia="宋体" w:cs="宋体"/>
                <w:b/>
                <w:bCs/>
                <w:color w:val="000000"/>
                <w:kern w:val="0"/>
                <w:sz w:val="21"/>
                <w:szCs w:val="21"/>
              </w:rPr>
              <w:t>戏剧影视文学(电视剧创作)</w:t>
            </w:r>
          </w:p>
        </w:tc>
        <w:tc>
          <w:tcPr>
            <w:tcW w:w="993" w:type="dxa"/>
            <w:vAlign w:val="center"/>
          </w:tcPr>
          <w:p>
            <w:pPr>
              <w:widowControl/>
              <w:jc w:val="center"/>
              <w:rPr>
                <w:rFonts w:ascii="Times New Roman" w:hAnsi="Times New Roman" w:cs="Times New Roman"/>
                <w:sz w:val="21"/>
              </w:rPr>
            </w:pPr>
            <w:r>
              <w:rPr>
                <w:rFonts w:ascii="Times New Roman" w:hAnsi="Times New Roman" w:cs="Times New Roman"/>
                <w:sz w:val="21"/>
              </w:rPr>
              <w:t>0.00</w:t>
            </w:r>
          </w:p>
        </w:tc>
        <w:tc>
          <w:tcPr>
            <w:tcW w:w="1134" w:type="dxa"/>
            <w:vAlign w:val="center"/>
          </w:tcPr>
          <w:p>
            <w:pPr>
              <w:widowControl/>
              <w:jc w:val="center"/>
              <w:rPr>
                <w:rFonts w:ascii="Times New Roman" w:hAnsi="Times New Roman" w:cs="Times New Roman"/>
                <w:sz w:val="21"/>
              </w:rPr>
            </w:pPr>
            <w:r>
              <w:rPr>
                <w:rFonts w:ascii="Times New Roman" w:hAnsi="Times New Roman" w:cs="Times New Roman"/>
                <w:sz w:val="21"/>
              </w:rPr>
              <w:t>100.00</w:t>
            </w:r>
          </w:p>
        </w:tc>
        <w:tc>
          <w:tcPr>
            <w:tcW w:w="1004" w:type="dxa"/>
            <w:vAlign w:val="center"/>
          </w:tcPr>
          <w:p>
            <w:pPr>
              <w:widowControl/>
              <w:jc w:val="center"/>
              <w:rPr>
                <w:rFonts w:ascii="Times New Roman" w:hAnsi="Times New Roman" w:cs="Times New Roman"/>
                <w:sz w:val="21"/>
              </w:rPr>
            </w:pPr>
            <w:r>
              <w:rPr>
                <w:rFonts w:ascii="Times New Roman" w:hAnsi="Times New Roman" w:cs="Times New Roman"/>
                <w:sz w:val="21"/>
              </w:rPr>
              <w:t>0.00</w:t>
            </w:r>
          </w:p>
        </w:tc>
      </w:tr>
    </w:tbl>
    <w:p/>
    <w:p>
      <w:pPr>
        <w:pStyle w:val="67"/>
        <w:spacing w:before="156" w:after="156"/>
        <w:ind w:left="240"/>
      </w:pPr>
      <w:bookmarkStart w:id="240" w:name="_Toc486857501"/>
      <w:r>
        <w:rPr>
          <w:rFonts w:hint="eastAsia"/>
        </w:rPr>
        <w:t>11.落实工作与期望相符情况</w:t>
      </w:r>
      <w:bookmarkEnd w:id="240"/>
    </w:p>
    <w:p>
      <w:pPr>
        <w:pStyle w:val="123"/>
        <w:ind w:firstLine="480"/>
      </w:pPr>
      <w:bookmarkStart w:id="241" w:name="PO_322111"/>
      <w:bookmarkEnd w:id="241"/>
      <w:r>
        <w:rPr>
          <w:rFonts w:hint="eastAsia"/>
        </w:rPr>
        <w:t>从落实工作与期望相符情况看，认为目前落实的工作与期望“很相符”或“相符”的本科生比例为62.25%，认为工作与期望“不相符”或“很不相符”的占9.94%。</w:t>
      </w:r>
    </w:p>
    <w:p>
      <w:pPr>
        <w:jc w:val="center"/>
      </w:pPr>
      <w:bookmarkStart w:id="242" w:name="PO_322112"/>
      <w:bookmarkEnd w:id="242"/>
      <w:r>
        <w:rPr>
          <w:rFonts w:hint="eastAsia"/>
        </w:rPr>
        <w:drawing>
          <wp:inline distT="0" distB="0" distL="0" distR="0">
            <wp:extent cx="5007610" cy="2286000"/>
            <wp:effectExtent l="0" t="0" r="2540" b="0"/>
            <wp:docPr id="2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pStyle w:val="107"/>
        <w:spacing w:before="156" w:after="312"/>
      </w:pPr>
      <w:r>
        <w:rPr>
          <w:rFonts w:hint="eastAsia"/>
        </w:rPr>
        <w:t>本科生落实工作与期望相符情况</w:t>
      </w:r>
    </w:p>
    <w:p>
      <w:pPr>
        <w:pStyle w:val="41"/>
        <w:ind w:firstLine="482"/>
        <w:rPr>
          <w:rFonts w:asciiTheme="minorEastAsia" w:hAnsiTheme="minorEastAsia" w:eastAsiaTheme="minorEastAsia"/>
        </w:rPr>
      </w:pPr>
      <w:bookmarkStart w:id="243" w:name="_Hlk497403410"/>
      <w:r>
        <w:rPr>
          <w:rFonts w:hint="eastAsia"/>
          <w:b/>
        </w:rPr>
        <w:t>与2016届</w:t>
      </w:r>
      <w:r>
        <w:rPr>
          <w:b/>
        </w:rPr>
        <w:t>相比，</w:t>
      </w:r>
      <w:r>
        <w:rPr>
          <w:rFonts w:hint="eastAsia"/>
        </w:rPr>
        <w:t>2017届</w:t>
      </w:r>
      <w:r>
        <w:t>本科生</w:t>
      </w:r>
      <w:r>
        <w:rPr>
          <w:rFonts w:hint="eastAsia"/>
        </w:rPr>
        <w:t>落实</w:t>
      </w:r>
      <w:r>
        <w:t>工作与期</w:t>
      </w:r>
      <w:r>
        <w:rPr>
          <w:rFonts w:asciiTheme="minorEastAsia" w:hAnsiTheme="minorEastAsia" w:eastAsiaTheme="minorEastAsia"/>
        </w:rPr>
        <w:t>望</w:t>
      </w:r>
      <w:r>
        <w:rPr>
          <w:rFonts w:hint="eastAsia" w:asciiTheme="minorEastAsia" w:hAnsiTheme="minorEastAsia" w:eastAsiaTheme="minorEastAsia"/>
        </w:rPr>
        <w:t>“</w:t>
      </w:r>
      <w:r>
        <w:rPr>
          <w:rFonts w:asciiTheme="minorEastAsia" w:hAnsiTheme="minorEastAsia" w:eastAsiaTheme="minorEastAsia"/>
        </w:rPr>
        <w:t>很</w:t>
      </w:r>
      <w:r>
        <w:rPr>
          <w:rFonts w:hint="eastAsia" w:asciiTheme="minorEastAsia" w:hAnsiTheme="minorEastAsia" w:eastAsiaTheme="minorEastAsia"/>
        </w:rPr>
        <w:t>相符”“相符”的</w:t>
      </w:r>
      <w:r>
        <w:rPr>
          <w:rFonts w:asciiTheme="minorEastAsia" w:hAnsiTheme="minorEastAsia" w:eastAsiaTheme="minorEastAsia"/>
        </w:rPr>
        <w:t>比例有所下降，而 “</w:t>
      </w:r>
      <w:r>
        <w:rPr>
          <w:rFonts w:hint="eastAsia" w:asciiTheme="minorEastAsia" w:hAnsiTheme="minorEastAsia" w:eastAsiaTheme="minorEastAsia"/>
        </w:rPr>
        <w:t>不相符</w:t>
      </w:r>
      <w:r>
        <w:rPr>
          <w:rFonts w:asciiTheme="minorEastAsia" w:hAnsiTheme="minorEastAsia" w:eastAsiaTheme="minorEastAsia"/>
        </w:rPr>
        <w:t>”“</w:t>
      </w:r>
      <w:r>
        <w:rPr>
          <w:rFonts w:hint="eastAsia" w:asciiTheme="minorEastAsia" w:hAnsiTheme="minorEastAsia" w:eastAsiaTheme="minorEastAsia"/>
        </w:rPr>
        <w:t>很</w:t>
      </w:r>
      <w:r>
        <w:rPr>
          <w:rFonts w:asciiTheme="minorEastAsia" w:hAnsiTheme="minorEastAsia" w:eastAsiaTheme="minorEastAsia"/>
        </w:rPr>
        <w:t>不相符”</w:t>
      </w:r>
      <w:r>
        <w:rPr>
          <w:rFonts w:hint="eastAsia" w:asciiTheme="minorEastAsia" w:hAnsiTheme="minorEastAsia" w:eastAsiaTheme="minorEastAsia"/>
        </w:rPr>
        <w:t>的</w:t>
      </w:r>
      <w:r>
        <w:rPr>
          <w:rFonts w:asciiTheme="minorEastAsia" w:hAnsiTheme="minorEastAsia" w:eastAsiaTheme="minorEastAsia"/>
        </w:rPr>
        <w:t>比例</w:t>
      </w:r>
      <w:r>
        <w:rPr>
          <w:rFonts w:hint="eastAsia" w:asciiTheme="minorEastAsia" w:hAnsiTheme="minorEastAsia" w:eastAsiaTheme="minorEastAsia"/>
        </w:rPr>
        <w:t>有所</w:t>
      </w:r>
      <w:r>
        <w:rPr>
          <w:rFonts w:asciiTheme="minorEastAsia" w:hAnsiTheme="minorEastAsia" w:eastAsiaTheme="minorEastAsia"/>
        </w:rPr>
        <w:t>升高。</w:t>
      </w:r>
    </w:p>
    <w:p>
      <w:pPr>
        <w:pStyle w:val="41"/>
        <w:ind w:firstLine="480"/>
        <w:jc w:val="center"/>
      </w:pPr>
      <w:r>
        <w:rPr>
          <w:rFonts w:hint="eastAsia"/>
        </w:rPr>
        <w:drawing>
          <wp:inline distT="0" distB="0" distL="0" distR="0">
            <wp:extent cx="4856480" cy="2466975"/>
            <wp:effectExtent l="19050" t="0" r="0" b="0"/>
            <wp:docPr id="46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pStyle w:val="107"/>
        <w:spacing w:before="156" w:after="312"/>
      </w:pPr>
      <w:r>
        <w:rPr>
          <w:rFonts w:hint="eastAsia"/>
        </w:rPr>
        <w:t>2016届</w:t>
      </w:r>
      <w:r>
        <w:t>与</w:t>
      </w:r>
      <w:r>
        <w:rPr>
          <w:rFonts w:hint="eastAsia"/>
        </w:rPr>
        <w:t>2017届</w:t>
      </w:r>
      <w:r>
        <w:t>本科生落实工作与期望相符情况</w:t>
      </w:r>
      <w:r>
        <w:rPr>
          <w:rFonts w:hint="eastAsia"/>
        </w:rPr>
        <w:t>比较</w:t>
      </w:r>
    </w:p>
    <w:bookmarkEnd w:id="243"/>
    <w:p>
      <w:pPr>
        <w:pStyle w:val="41"/>
        <w:ind w:firstLine="480"/>
      </w:pPr>
    </w:p>
    <w:p>
      <w:pPr>
        <w:pStyle w:val="49"/>
        <w:spacing w:before="156" w:after="156"/>
        <w:ind w:left="120"/>
      </w:pPr>
      <w:bookmarkStart w:id="244" w:name="_Toc486857502"/>
      <w:r>
        <w:rPr>
          <w:rFonts w:hint="eastAsia"/>
        </w:rPr>
        <w:t>（三）本科生求职过程</w:t>
      </w:r>
      <w:bookmarkEnd w:id="244"/>
    </w:p>
    <w:p>
      <w:pPr>
        <w:pStyle w:val="41"/>
        <w:ind w:firstLine="482"/>
      </w:pPr>
      <w:r>
        <w:rPr>
          <w:rFonts w:hint="eastAsia"/>
          <w:b/>
        </w:rPr>
        <w:t>求职过程</w:t>
      </w:r>
      <w:r>
        <w:rPr>
          <w:b/>
        </w:rPr>
        <w:t>：</w:t>
      </w:r>
      <w:r>
        <w:rPr>
          <w:rFonts w:hint="eastAsia"/>
        </w:rPr>
        <w:t>调查要求毕业生</w:t>
      </w:r>
      <w:r>
        <w:t>根据</w:t>
      </w:r>
      <w:r>
        <w:rPr>
          <w:rFonts w:hint="eastAsia"/>
        </w:rPr>
        <w:t>求职的</w:t>
      </w:r>
      <w:r>
        <w:t>实际</w:t>
      </w:r>
      <w:r>
        <w:rPr>
          <w:rFonts w:hint="eastAsia"/>
        </w:rPr>
        <w:t>情况</w:t>
      </w:r>
      <w:r>
        <w:t>进行回答，主要</w:t>
      </w:r>
      <w:r>
        <w:rPr>
          <w:rFonts w:hint="eastAsia"/>
        </w:rPr>
        <w:t>包括求职</w:t>
      </w:r>
      <w:r>
        <w:t>积极性、</w:t>
      </w:r>
      <w:r>
        <w:rPr>
          <w:rFonts w:hint="eastAsia"/>
        </w:rPr>
        <w:t>工作</w:t>
      </w:r>
      <w:r>
        <w:t>机会、求职</w:t>
      </w:r>
      <w:r>
        <w:rPr>
          <w:rFonts w:hint="eastAsia"/>
        </w:rPr>
        <w:t>周期</w:t>
      </w:r>
      <w:r>
        <w:t>、</w:t>
      </w:r>
      <w:r>
        <w:rPr>
          <w:rFonts w:hint="eastAsia"/>
        </w:rPr>
        <w:t>求职花费</w:t>
      </w:r>
      <w:r>
        <w:t>、求职渠道</w:t>
      </w:r>
      <w:r>
        <w:rPr>
          <w:rFonts w:hint="eastAsia"/>
        </w:rPr>
        <w:t>和</w:t>
      </w:r>
      <w:r>
        <w:t>求职价值观</w:t>
      </w:r>
      <w:r>
        <w:rPr>
          <w:rFonts w:hint="eastAsia"/>
        </w:rPr>
        <w:t>等</w:t>
      </w:r>
      <w:r>
        <w:t>方面。</w:t>
      </w:r>
    </w:p>
    <w:p>
      <w:pPr>
        <w:pStyle w:val="67"/>
        <w:spacing w:before="156" w:after="156"/>
        <w:ind w:left="240"/>
      </w:pPr>
      <w:bookmarkStart w:id="245" w:name="_Toc486857503"/>
      <w:r>
        <w:rPr>
          <w:rFonts w:hint="eastAsia"/>
        </w:rPr>
        <w:t>1.求职积极程度</w:t>
      </w:r>
      <w:bookmarkEnd w:id="245"/>
    </w:p>
    <w:p>
      <w:pPr>
        <w:pStyle w:val="123"/>
        <w:ind w:firstLine="480"/>
      </w:pPr>
      <w:bookmarkStart w:id="246" w:name="PO_32311"/>
      <w:bookmarkEnd w:id="246"/>
      <w:r>
        <w:rPr>
          <w:rFonts w:hint="eastAsia"/>
        </w:rPr>
        <w:t>在评价自己的求职积极程度时，80.13%的本科生认为自己“很积极”或“积极”，1.98%的本科生则表示“不积极”或“很不积极”。</w:t>
      </w:r>
    </w:p>
    <w:p>
      <w:pPr>
        <w:jc w:val="center"/>
      </w:pPr>
      <w:bookmarkStart w:id="247" w:name="PO_32312"/>
      <w:bookmarkEnd w:id="247"/>
      <w:r>
        <w:rPr>
          <w:rFonts w:hint="eastAsia"/>
        </w:rPr>
        <w:drawing>
          <wp:inline distT="0" distB="0" distL="0" distR="0">
            <wp:extent cx="5007610" cy="2286000"/>
            <wp:effectExtent l="0" t="0" r="2540" b="0"/>
            <wp:docPr id="7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pStyle w:val="107"/>
        <w:spacing w:before="156" w:after="312"/>
      </w:pPr>
      <w:r>
        <w:rPr>
          <w:rFonts w:hint="eastAsia"/>
        </w:rPr>
        <w:t>本科生求职积极程度</w:t>
      </w:r>
    </w:p>
    <w:p>
      <w:pPr>
        <w:pStyle w:val="67"/>
        <w:spacing w:before="156" w:after="156"/>
        <w:ind w:left="240"/>
      </w:pPr>
      <w:bookmarkStart w:id="248" w:name="_Toc486857504"/>
      <w:r>
        <w:rPr>
          <w:rFonts w:hint="eastAsia"/>
        </w:rPr>
        <w:t>2.</w:t>
      </w:r>
      <w:r>
        <w:t>简历投递、面试机会及工作机会</w:t>
      </w:r>
      <w:bookmarkEnd w:id="248"/>
    </w:p>
    <w:p>
      <w:pPr>
        <w:pStyle w:val="123"/>
        <w:ind w:firstLine="480"/>
      </w:pPr>
      <w:bookmarkStart w:id="249" w:name="PO_32321"/>
      <w:bookmarkEnd w:id="249"/>
      <w:r>
        <w:rPr>
          <w:rFonts w:hint="eastAsia"/>
        </w:rPr>
        <w:t>调查显示，本科生求职过程中平均投递简历14.00份，平均收到面试邀请6.45份，平均收到录取通知3.24份。</w:t>
      </w:r>
    </w:p>
    <w:p>
      <w:pPr>
        <w:rPr>
          <w:rFonts w:ascii="Times New Roman" w:hAnsi="Times New Roman" w:eastAsia="宋体"/>
        </w:rPr>
      </w:pPr>
      <w:bookmarkStart w:id="250" w:name="PO_32322"/>
      <w:bookmarkEnd w:id="250"/>
      <w:bookmarkStart w:id="251" w:name="PO_home"/>
      <w:bookmarkEnd w:id="251"/>
      <w:r>
        <mc:AlternateContent>
          <mc:Choice Requires="wpc">
            <w:drawing>
              <wp:inline distT="0" distB="0" distL="114300" distR="114300">
                <wp:extent cx="6010910" cy="1438275"/>
                <wp:effectExtent l="0" t="0" r="0" b="0"/>
                <wp:docPr id="41" name="画布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32" name="文本框 371"/>
                        <wps:cNvSpPr txBox="1"/>
                        <wps:spPr>
                          <a:xfrm>
                            <a:off x="763901" y="1091557"/>
                            <a:ext cx="1535403" cy="342918"/>
                          </a:xfrm>
                          <a:prstGeom prst="rect">
                            <a:avLst/>
                          </a:prstGeom>
                          <a:noFill/>
                          <a:ln w="6350">
                            <a:noFill/>
                          </a:ln>
                        </wps:spPr>
                        <wps:txbx>
                          <w:txbxContent>
                            <w:p>
                              <w:r>
                                <w:rPr>
                                  <w:rFonts w:hint="eastAsia"/>
                                </w:rPr>
                                <w:t>投递</w:t>
                              </w:r>
                              <w:bookmarkStart w:id="435" w:name="PO_32322A"/>
                              <w:bookmarkEnd w:id="435"/>
                              <w:r>
                                <w:t>14.00</w:t>
                              </w:r>
                              <w:r>
                                <w:rPr>
                                  <w:rFonts w:hint="eastAsia"/>
                                </w:rPr>
                                <w:t>份简历</w:t>
                              </w:r>
                            </w:p>
                          </w:txbxContent>
                        </wps:txbx>
                        <wps:bodyPr upright="1"/>
                      </wps:wsp>
                      <wps:wsp>
                        <wps:cNvPr id="33" name="文本框 372"/>
                        <wps:cNvSpPr txBox="1"/>
                        <wps:spPr>
                          <a:xfrm>
                            <a:off x="2367304" y="1091557"/>
                            <a:ext cx="1598903" cy="342918"/>
                          </a:xfrm>
                          <a:prstGeom prst="rect">
                            <a:avLst/>
                          </a:prstGeom>
                          <a:noFill/>
                          <a:ln w="6350">
                            <a:noFill/>
                          </a:ln>
                        </wps:spPr>
                        <wps:txbx>
                          <w:txbxContent>
                            <w:p>
                              <w:r>
                                <w:rPr>
                                  <w:rFonts w:hint="eastAsia"/>
                                </w:rPr>
                                <w:t>获得</w:t>
                              </w:r>
                              <w:bookmarkStart w:id="436" w:name="PO_32322B"/>
                              <w:bookmarkEnd w:id="436"/>
                              <w:r>
                                <w:t>6.45份面试邀请</w:t>
                              </w:r>
                            </w:p>
                          </w:txbxContent>
                        </wps:txbx>
                        <wps:bodyPr upright="1"/>
                      </wps:wsp>
                      <wps:wsp>
                        <wps:cNvPr id="34" name="文本框 373"/>
                        <wps:cNvSpPr txBox="1"/>
                        <wps:spPr>
                          <a:xfrm>
                            <a:off x="4015107" y="1091557"/>
                            <a:ext cx="1684703" cy="342918"/>
                          </a:xfrm>
                          <a:prstGeom prst="rect">
                            <a:avLst/>
                          </a:prstGeom>
                          <a:noFill/>
                          <a:ln w="6350">
                            <a:noFill/>
                          </a:ln>
                        </wps:spPr>
                        <wps:txbx>
                          <w:txbxContent>
                            <w:p>
                              <w:r>
                                <w:rPr>
                                  <w:rFonts w:hint="eastAsia"/>
                                </w:rPr>
                                <w:t>收到</w:t>
                              </w:r>
                              <w:bookmarkStart w:id="437" w:name="PO_32322C"/>
                              <w:bookmarkEnd w:id="437"/>
                              <w:r>
                                <w:t>3.24份</w:t>
                              </w:r>
                              <w:r>
                                <w:rPr>
                                  <w:rFonts w:hint="eastAsia"/>
                                </w:rPr>
                                <w:t>录用通知</w:t>
                              </w:r>
                            </w:p>
                          </w:txbxContent>
                        </wps:txbx>
                        <wps:bodyPr upright="1"/>
                      </wps:wsp>
                      <wpg:wgp>
                        <wpg:cNvPr id="40" name="组合 374"/>
                        <wpg:cNvGrpSpPr/>
                        <wpg:grpSpPr>
                          <a:xfrm>
                            <a:off x="884301" y="188510"/>
                            <a:ext cx="4156107" cy="930749"/>
                            <a:chOff x="10740" y="1800"/>
                            <a:chExt cx="41561" cy="9307"/>
                          </a:xfrm>
                        </wpg:grpSpPr>
                        <pic:pic xmlns:pic="http://schemas.openxmlformats.org/drawingml/2006/picture">
                          <pic:nvPicPr>
                            <pic:cNvPr id="35" name="图形 455" descr="报纸"/>
                            <pic:cNvPicPr>
                              <a:picLocks noChangeAspect="1"/>
                            </pic:cNvPicPr>
                          </pic:nvPicPr>
                          <pic:blipFill>
                            <a:blip r:embed="rId65"/>
                            <a:stretch>
                              <a:fillRect/>
                            </a:stretch>
                          </pic:blipFill>
                          <pic:spPr>
                            <a:xfrm>
                              <a:off x="10740" y="1800"/>
                              <a:ext cx="9144" cy="9144"/>
                            </a:xfrm>
                            <a:prstGeom prst="rect">
                              <a:avLst/>
                            </a:prstGeom>
                            <a:noFill/>
                            <a:ln w="9525">
                              <a:noFill/>
                            </a:ln>
                          </pic:spPr>
                        </pic:pic>
                        <pic:pic xmlns:pic="http://schemas.openxmlformats.org/drawingml/2006/picture">
                          <pic:nvPicPr>
                            <pic:cNvPr id="36" name="图形 453" descr="用户"/>
                            <pic:cNvPicPr>
                              <a:picLocks noChangeAspect="1"/>
                            </pic:cNvPicPr>
                          </pic:nvPicPr>
                          <pic:blipFill>
                            <a:blip r:embed="rId66"/>
                            <a:stretch>
                              <a:fillRect/>
                            </a:stretch>
                          </pic:blipFill>
                          <pic:spPr>
                            <a:xfrm>
                              <a:off x="26744" y="1885"/>
                              <a:ext cx="9144" cy="9144"/>
                            </a:xfrm>
                            <a:prstGeom prst="rect">
                              <a:avLst/>
                            </a:prstGeom>
                            <a:noFill/>
                            <a:ln w="9525">
                              <a:noFill/>
                            </a:ln>
                          </pic:spPr>
                        </pic:pic>
                        <pic:pic xmlns:pic="http://schemas.openxmlformats.org/drawingml/2006/picture">
                          <pic:nvPicPr>
                            <pic:cNvPr id="37" name="图形 456" descr="握手"/>
                            <pic:cNvPicPr>
                              <a:picLocks noChangeAspect="1"/>
                            </pic:cNvPicPr>
                          </pic:nvPicPr>
                          <pic:blipFill>
                            <a:blip r:embed="rId67"/>
                            <a:stretch>
                              <a:fillRect/>
                            </a:stretch>
                          </pic:blipFill>
                          <pic:spPr>
                            <a:xfrm>
                              <a:off x="43157" y="1963"/>
                              <a:ext cx="9144" cy="9144"/>
                            </a:xfrm>
                            <a:prstGeom prst="rect">
                              <a:avLst/>
                            </a:prstGeom>
                            <a:noFill/>
                            <a:ln w="9525">
                              <a:noFill/>
                            </a:ln>
                          </pic:spPr>
                        </pic:pic>
                        <wps:wsp>
                          <wps:cNvPr id="38" name="直接箭头连接符 378"/>
                          <wps:cNvCnPr/>
                          <wps:spPr>
                            <a:xfrm>
                              <a:off x="19883" y="6372"/>
                              <a:ext cx="6860" cy="84"/>
                            </a:xfrm>
                            <a:prstGeom prst="straightConnector1">
                              <a:avLst/>
                            </a:prstGeom>
                            <a:ln w="9525" cap="flat" cmpd="sng">
                              <a:solidFill>
                                <a:srgbClr val="46AAC5"/>
                              </a:solidFill>
                              <a:prstDash val="solid"/>
                              <a:headEnd type="none" w="med" len="med"/>
                              <a:tailEnd type="triangle" w="med" len="med"/>
                            </a:ln>
                          </wps:spPr>
                          <wps:bodyPr/>
                        </wps:wsp>
                        <wps:wsp>
                          <wps:cNvPr id="39" name="直接箭头连接符 379"/>
                          <wps:cNvCnPr/>
                          <wps:spPr>
                            <a:xfrm>
                              <a:off x="35888" y="6457"/>
                              <a:ext cx="7269" cy="78"/>
                            </a:xfrm>
                            <a:prstGeom prst="straightConnector1">
                              <a:avLst/>
                            </a:prstGeom>
                            <a:ln w="9525" cap="flat" cmpd="sng">
                              <a:solidFill>
                                <a:srgbClr val="46AAC5"/>
                              </a:solidFill>
                              <a:prstDash val="solid"/>
                              <a:headEnd type="none" w="med" len="med"/>
                              <a:tailEnd type="triangle" w="med" len="med"/>
                            </a:ln>
                          </wps:spPr>
                          <wps:bodyPr/>
                        </wps:wsp>
                      </wpg:wgp>
                    </wpc:wpc>
                  </a:graphicData>
                </a:graphic>
              </wp:inline>
            </w:drawing>
          </mc:Choice>
          <mc:Fallback>
            <w:pict>
              <v:group id="画布 5" o:spid="_x0000_s1026" o:spt="203" style="height:113.25pt;width:473.3pt;" coordsize="6010910,1438275" editas="canvas" o:gfxdata="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">
                <o:lock v:ext="edit" aspectratio="f"/>
                <v:rect id="画布 5" o:spid="_x0000_s1026" o:spt="1" style="position:absolute;left:0;top:0;height:1438275;width:6010910;" filled="f" stroked="f" coordsize="21600,21600" o:gfxdata="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">
                  <v:fill on="f" focussize="0,0"/>
                  <v:stroke on="f"/>
                  <v:imagedata o:title=""/>
                  <o:lock v:ext="edit" aspectratio="t"/>
                </v:rect>
                <v:shape id="文本框 371" o:spid="_x0000_s1026" o:spt="202" type="#_x0000_t202" style="position:absolute;left:763901;top:1091556;height:342917;width:153540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yBMYA&#10;AADcAAAADwAAAGRycy9kb3ducmV2LnhtbESPT4vCMBTE7wt+h/AEb2uqi6tUo0hBVsQ9+Ofi7dk8&#10;22LzUpuo1U+/WRA8DjPzG2Yya0wpblS7wrKCXjcCQZxaXXCmYL9bfI5AOI+ssbRMCh7kYDZtfUww&#10;1vbOG7ptfSYChF2MCnLvq1hKl+Zk0HVtRRy8k60N+iDrTOoa7wFuStmPom9psOCwkGNFSU7peXs1&#10;ClbJ4hc3x74ZPcvkZ32aV5f9YaBUp93MxyA8Nf4dfrWXWsHXsAf/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qyBMYAAADcAAAADwAAAAAAAAAAAAAAAACYAgAAZHJz&#10;L2Rvd25yZXYueG1sUEsFBgAAAAAEAAQA9QAAAIsDAAAAAA==&#10;">
                  <v:fill on="f" focussize="0,0"/>
                  <v:stroke on="f" weight="0.5pt"/>
                  <v:imagedata o:title=""/>
                  <o:lock v:ext="edit" aspectratio="f"/>
                  <v:textbox>
                    <w:txbxContent>
                      <w:p>
                        <w:r>
                          <w:rPr>
                            <w:rFonts w:hint="eastAsia"/>
                          </w:rPr>
                          <w:t>投递</w:t>
                        </w:r>
                        <w:bookmarkStart w:id="435" w:name="PO_32322A"/>
                        <w:bookmarkEnd w:id="435"/>
                        <w:r>
                          <w:t>14.00</w:t>
                        </w:r>
                        <w:r>
                          <w:rPr>
                            <w:rFonts w:hint="eastAsia"/>
                          </w:rPr>
                          <w:t>份简历</w:t>
                        </w:r>
                      </w:p>
                    </w:txbxContent>
                  </v:textbox>
                </v:shape>
                <v:shape id="文本框 372" o:spid="_x0000_s1026" o:spt="202" type="#_x0000_t202" style="position:absolute;left:2367303;top:1091556;height:342917;width:159890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gsc8cA&#10;AADcAAAADwAAAGRycy9kb3ducmV2LnhtbESPzWvCQBTE70L/h+UVetNNU1olZhUJSEXagx8Xb8/s&#10;ywdm36bZrab9611B8DjMzG+YdN6bRpypc7VlBa+jCARxbnXNpYL9bjmcgHAeWWNjmRT8kYP57GmQ&#10;YqLthTd03vpSBAi7BBVU3reJlC6vyKAb2ZY4eIXtDPogu1LqDi8BbhoZR9GHNFhzWKiwpayi/LT9&#10;NQrW2fIbN8fYTP6b7POrWLQ/+8O7Ui/P/WIKwlPvH+F7e6UVvI1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ILHPHAAAA3AAAAA8AAAAAAAAAAAAAAAAAmAIAAGRy&#10;cy9kb3ducmV2LnhtbFBLBQYAAAAABAAEAPUAAACMAwAAAAA=&#10;">
                  <v:fill on="f" focussize="0,0"/>
                  <v:stroke on="f" weight="0.5pt"/>
                  <v:imagedata o:title=""/>
                  <o:lock v:ext="edit" aspectratio="f"/>
                  <v:textbox>
                    <w:txbxContent>
                      <w:p>
                        <w:r>
                          <w:rPr>
                            <w:rFonts w:hint="eastAsia"/>
                          </w:rPr>
                          <w:t>获得</w:t>
                        </w:r>
                        <w:bookmarkStart w:id="436" w:name="PO_32322B"/>
                        <w:bookmarkEnd w:id="436"/>
                        <w:r>
                          <w:t>6.45份面试邀请</w:t>
                        </w:r>
                      </w:p>
                    </w:txbxContent>
                  </v:textbox>
                </v:shape>
                <v:shape id="文本框 373" o:spid="_x0000_s1026" o:spt="202" type="#_x0000_t202" style="position:absolute;left:4015106;top:1091556;height:342917;width:168470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J6McA&#10;AADcAAAADwAAAGRycy9kb3ducmV2LnhtbESPQWvCQBSE70L/w/IKvemmBluJ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EiejHAAAA3AAAAA8AAAAAAAAAAAAAAAAAmAIAAGRy&#10;cy9kb3ducmV2LnhtbFBLBQYAAAAABAAEAPUAAACMAwAAAAA=&#10;">
                  <v:fill on="f" focussize="0,0"/>
                  <v:stroke on="f" weight="0.5pt"/>
                  <v:imagedata o:title=""/>
                  <o:lock v:ext="edit" aspectratio="f"/>
                  <v:textbox>
                    <w:txbxContent>
                      <w:p>
                        <w:r>
                          <w:rPr>
                            <w:rFonts w:hint="eastAsia"/>
                          </w:rPr>
                          <w:t>收到</w:t>
                        </w:r>
                        <w:bookmarkStart w:id="437" w:name="PO_32322C"/>
                        <w:bookmarkEnd w:id="437"/>
                        <w:r>
                          <w:t>3.24份</w:t>
                        </w:r>
                        <w:r>
                          <w:rPr>
                            <w:rFonts w:hint="eastAsia"/>
                          </w:rPr>
                          <w:t>录用通知</w:t>
                        </w:r>
                      </w:p>
                    </w:txbxContent>
                  </v:textbox>
                </v:shape>
                <v:group id="组合 374" o:spid="_x0000_s1026" o:spt="203" style="position:absolute;left:884301;top:188509;height:930748;width:4156106;" coordorigin="10740,1800" coordsize="41561,9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o:lock v:ext="edit" aspectratio="f"/>
                  <v:shape id="图形 455" o:spid="_x0000_s1026" o:spt="75" alt="报纸" type="#_x0000_t75" style="position:absolute;left:10740;top:1800;height:9144;width:9144;"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fzW7HAAAA3AAAAA8AAABkcnMvZG93bnJldi54bWxEj0FrwkAUhO+F/oflCV6KbtqixtRVRLAI&#10;pYJRxONr9pmEZt8u2a1J/323UOhxmJlvmMWqN424UetrywoexwkI4sLqmksFp+N2lILwAVljY5kU&#10;fJOH1fL+boGZth0f6JaHUkQI+wwVVCG4TEpfVGTQj60jjt7VtgZDlG0pdYtdhJtGPiXJVBqsOS5U&#10;6GhTUfGZfxkF785N3j7y1269n6fnh02+m+3Ti1LDQb9+ARGoD//hv/ZOK3ieTeD3TDwCcv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xfzW7HAAAA3AAAAA8AAAAAAAAAAAAA&#10;AAAAnwIAAGRycy9kb3ducmV2LnhtbFBLBQYAAAAABAAEAPcAAACTAwAAAAA=&#10;">
                    <v:fill on="f" focussize="0,0"/>
                    <v:stroke on="f"/>
                    <v:imagedata r:id="rId65" o:title="报纸"/>
                    <o:lock v:ext="edit" aspectratio="t"/>
                  </v:shape>
                  <v:shape id="图形 453" o:spid="_x0000_s1026" o:spt="75" alt="用户" type="#_x0000_t75" style="position:absolute;left:26744;top:1885;height:9144;width:9144;"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ZOnFAAAA3AAAAA8AAABkcnMvZG93bnJldi54bWxEj0FrwkAUhO8F/8PyCl5Ks9GClugqUgyk&#10;9NQo5vrIPpPQ7Ns0uybpv+8WCh6HmfmG2e4n04qBetdYVrCIYhDEpdUNVwrOp/T5FYTzyBpby6Tg&#10;hxzsd7OHLSbajvxJQ+4rESDsElRQe98lUrqyJoMush1x8K62N+iD7CupexwD3LRyGccrabDhsFBj&#10;R281lV/5zShodfGRvcvbhbo8/h6OTykVaarU/HE6bEB4mvw9/N/OtIKX9Qr+zoQjIH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hmTpxQAAANwAAAAPAAAAAAAAAAAAAAAA&#10;AJ8CAABkcnMvZG93bnJldi54bWxQSwUGAAAAAAQABAD3AAAAkQMAAAAA&#10;">
                    <v:fill on="f" focussize="0,0"/>
                    <v:stroke on="f"/>
                    <v:imagedata r:id="rId66" o:title="用户"/>
                    <o:lock v:ext="edit" aspectratio="t"/>
                  </v:shape>
                  <v:shape id="图形 456" o:spid="_x0000_s1026" o:spt="75" alt="握手" type="#_x0000_t75" style="position:absolute;left:43157;top:1963;height:9144;width:9144;"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LYhXFAAAA3AAAAA8AAABkcnMvZG93bnJldi54bWxEj0trwkAUhfcF/8NwhW6KTlqhSuooqaXg&#10;xkV9QJeXzG0mTeZOzIwx+fdOoeDycB4fZ7nubS06an3pWMHzNAFBnDtdcqHgePicLED4gKyxdkwK&#10;BvKwXo0elphqd+Uv6vahEHGEfYoKTAhNKqXPDVn0U9cQR+/HtRZDlG0hdYvXOG5r+ZIkr9JiyZFg&#10;sKGNobzaX2zkZpdfs8t09RTevz+6YcATVWelHsd99gYiUB/u4f/2ViuYzefwdyYeAb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y2IVxQAAANwAAAAPAAAAAAAAAAAAAAAA&#10;AJ8CAABkcnMvZG93bnJldi54bWxQSwUGAAAAAAQABAD3AAAAkQMAAAAA&#10;">
                    <v:fill on="f" focussize="0,0"/>
                    <v:stroke on="f"/>
                    <v:imagedata r:id="rId67" o:title="握手"/>
                    <o:lock v:ext="edit" aspectratio="t"/>
                  </v:shape>
                  <v:shape id="直接箭头连接符 378" o:spid="_x0000_s1026" o:spt="32" type="#_x0000_t32" style="position:absolute;left:19883;top:6372;height:84;width:686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KLcsEAAADcAAAADwAAAGRycy9kb3ducmV2LnhtbERP3WrCMBS+H+wdwhl4N1MV6uiMxQ3c&#10;pOiF3R7gkByb0uakNJl2b28uBrv8+P435eR6caUxtJ4VLOYZCGLtTcuNgu+v/fMLiBCRDfaeScEv&#10;BSi3jw8bLIy/8ZmudWxECuFQoAIb41BIGbQlh2HuB+LEXfzoMCY4NtKMeEvhrpfLLMulw5ZTg8WB&#10;3i3prv5xCnRlj0P1diFr6i7Xcf15/DixUrOnafcKItIU/8V/7oNRsFqntelMOgJye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EotywQAAANwAAAAPAAAAAAAAAAAAAAAA&#10;AKECAABkcnMvZG93bnJldi54bWxQSwUGAAAAAAQABAD5AAAAjwMAAAAA&#10;">
                    <v:fill on="f" focussize="0,0"/>
                    <v:stroke color="#46AAC5" joinstyle="round" endarrow="block"/>
                    <v:imagedata o:title=""/>
                    <o:lock v:ext="edit" aspectratio="f"/>
                  </v:shape>
                  <v:shape id="直接箭头连接符 379" o:spid="_x0000_s1026" o:spt="32" type="#_x0000_t32" style="position:absolute;left:35888;top:6457;height:78;width:7269;"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4u6cQAAADcAAAADwAAAGRycy9kb3ducmV2LnhtbESPUWvCMBSF3wf7D+EOfJvpHOispjKF&#10;uSH6sOoPuCS3TbG5KU3U7t8vg4GPh3POdzjL1eBacaU+NJ4VvIwzEMTam4ZrBafjx/MbiBCRDbae&#10;ScEPBVgVjw9LzI2/8Tddy1iLBOGQowIbY5dLGbQlh2HsO+LkVb53GJPsa2l6vCW4a+Uky6bSYcNp&#10;wWJHG0v6XF6cAr2z+263rsia8jzVcfa53x5YqdHT8L4AEWmI9/B/+8soeJ3N4e9MOgK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i7pxAAAANwAAAAPAAAAAAAAAAAA&#10;AAAAAKECAABkcnMvZG93bnJldi54bWxQSwUGAAAAAAQABAD5AAAAkgMAAAAA&#10;">
                    <v:fill on="f" focussize="0,0"/>
                    <v:stroke color="#46AAC5" joinstyle="round" endarrow="block"/>
                    <v:imagedata o:title=""/>
                    <o:lock v:ext="edit" aspectratio="f"/>
                  </v:shape>
                </v:group>
                <w10:wrap type="none"/>
                <w10:anchorlock/>
              </v:group>
            </w:pict>
          </mc:Fallback>
        </mc:AlternateContent>
      </w:r>
    </w:p>
    <w:p>
      <w:pPr>
        <w:pStyle w:val="107"/>
        <w:spacing w:before="156" w:after="312"/>
      </w:pPr>
      <w:r>
        <w:rPr>
          <w:rFonts w:hint="eastAsia"/>
        </w:rPr>
        <w:t>本科生投递简历数、面试邀请数、录用通知数</w:t>
      </w:r>
    </w:p>
    <w:p>
      <w:pPr>
        <w:pStyle w:val="67"/>
        <w:spacing w:before="156" w:after="156"/>
        <w:ind w:left="240"/>
      </w:pPr>
      <w:bookmarkStart w:id="252" w:name="PO_32324"/>
      <w:bookmarkEnd w:id="252"/>
      <w:bookmarkStart w:id="253" w:name="_Toc486857505"/>
      <w:r>
        <w:rPr>
          <w:rFonts w:hint="eastAsia"/>
        </w:rPr>
        <w:t>3.</w:t>
      </w:r>
      <w:r>
        <w:t>求职周期和收到第一份录用通知的时间</w:t>
      </w:r>
      <w:bookmarkEnd w:id="253"/>
    </w:p>
    <w:p>
      <w:pPr>
        <w:pStyle w:val="123"/>
        <w:ind w:firstLine="480"/>
      </w:pPr>
      <w:bookmarkStart w:id="254" w:name="PO_32331"/>
      <w:bookmarkEnd w:id="254"/>
      <w:r>
        <w:rPr>
          <w:rFonts w:hint="eastAsia"/>
        </w:rPr>
        <w:t>调查显示，本科生从开始求职到最终落实工作平均用时3.15个月，平均毕业前5.51个月拿到第一份录用通知，主要集中在2017年3月拿到第一个录取通知。</w:t>
      </w:r>
    </w:p>
    <w:p>
      <w:pPr>
        <w:pStyle w:val="41"/>
        <w:ind w:firstLine="480"/>
      </w:pPr>
      <w:bookmarkStart w:id="255" w:name="PO_32332"/>
      <w:bookmarkEnd w:id="255"/>
      <w:r>
        <mc:AlternateContent>
          <mc:Choice Requires="wpc">
            <w:drawing>
              <wp:inline distT="0" distB="0" distL="114300" distR="114300">
                <wp:extent cx="5815965" cy="1231265"/>
                <wp:effectExtent l="0" t="0" r="0" b="0"/>
                <wp:docPr id="47" name="画布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42" name="文本框 381"/>
                        <wps:cNvSpPr txBox="1"/>
                        <wps:spPr>
                          <a:xfrm>
                            <a:off x="610207" y="859745"/>
                            <a:ext cx="1152513" cy="342918"/>
                          </a:xfrm>
                          <a:prstGeom prst="rect">
                            <a:avLst/>
                          </a:prstGeom>
                          <a:noFill/>
                          <a:ln w="6350">
                            <a:noFill/>
                          </a:ln>
                        </wps:spPr>
                        <wps:txbx>
                          <w:txbxContent>
                            <w:p>
                              <w:r>
                                <w:t>用时</w:t>
                              </w:r>
                              <w:bookmarkStart w:id="438" w:name="PO_32332A"/>
                              <w:bookmarkEnd w:id="438"/>
                              <w:r>
                                <w:t>3.15</w:t>
                              </w:r>
                              <w:r>
                                <w:rPr>
                                  <w:rFonts w:hint="eastAsia"/>
                                </w:rPr>
                                <w:t>个月</w:t>
                              </w:r>
                            </w:p>
                          </w:txbxContent>
                        </wps:txbx>
                        <wps:bodyPr upright="1"/>
                      </wps:wsp>
                      <wps:wsp>
                        <wps:cNvPr id="43" name="文本框 382"/>
                        <wps:cNvSpPr txBox="1"/>
                        <wps:spPr>
                          <a:xfrm>
                            <a:off x="2813731" y="843945"/>
                            <a:ext cx="3002234" cy="342918"/>
                          </a:xfrm>
                          <a:prstGeom prst="rect">
                            <a:avLst/>
                          </a:prstGeom>
                          <a:noFill/>
                          <a:ln w="6350">
                            <a:noFill/>
                          </a:ln>
                        </wps:spPr>
                        <wps:txbx>
                          <w:txbxContent>
                            <w:p>
                              <w:r>
                                <w:rPr>
                                  <w:rFonts w:hint="eastAsia"/>
                                </w:rPr>
                                <w:t>毕业前</w:t>
                              </w:r>
                              <w:bookmarkStart w:id="439" w:name="PO_32332B"/>
                              <w:bookmarkEnd w:id="439"/>
                              <w:r>
                                <w:t>5.51</w:t>
                              </w:r>
                              <w:r>
                                <w:rPr>
                                  <w:rFonts w:hint="eastAsia"/>
                                </w:rPr>
                                <w:t>个月</w:t>
                              </w:r>
                              <w:r>
                                <w:t>收到第一份录用通知</w:t>
                              </w:r>
                            </w:p>
                          </w:txbxContent>
                        </wps:txbx>
                        <wps:bodyPr upright="1"/>
                      </wps:wsp>
                      <pic:pic xmlns:pic="http://schemas.openxmlformats.org/drawingml/2006/picture">
                        <pic:nvPicPr>
                          <pic:cNvPr id="44" name="图形 457" descr="日历"/>
                          <pic:cNvPicPr>
                            <a:picLocks noChangeAspect="1"/>
                          </pic:cNvPicPr>
                        </pic:nvPicPr>
                        <pic:blipFill>
                          <a:blip r:embed="rId68"/>
                          <a:stretch>
                            <a:fillRect/>
                          </a:stretch>
                        </pic:blipFill>
                        <pic:spPr>
                          <a:xfrm>
                            <a:off x="695208" y="0"/>
                            <a:ext cx="914410" cy="914448"/>
                          </a:xfrm>
                          <a:prstGeom prst="rect">
                            <a:avLst/>
                          </a:prstGeom>
                          <a:noFill/>
                          <a:ln w="9525">
                            <a:noFill/>
                          </a:ln>
                        </pic:spPr>
                      </pic:pic>
                      <wps:wsp>
                        <wps:cNvPr id="45" name="直接箭头连接符 384"/>
                        <wps:cNvCnPr/>
                        <wps:spPr>
                          <a:xfrm>
                            <a:off x="1609618" y="457224"/>
                            <a:ext cx="2312126" cy="0"/>
                          </a:xfrm>
                          <a:prstGeom prst="straightConnector1">
                            <a:avLst/>
                          </a:prstGeom>
                          <a:ln w="9525" cap="flat" cmpd="sng">
                            <a:solidFill>
                              <a:schemeClr val="accent5">
                                <a:lumMod val="95000"/>
                              </a:schemeClr>
                            </a:solidFill>
                            <a:prstDash val="solid"/>
                            <a:headEnd type="none" w="med" len="med"/>
                            <a:tailEnd type="triangle" w="med" len="med"/>
                          </a:ln>
                        </wps:spPr>
                        <wps:bodyPr/>
                      </wps:wsp>
                      <pic:pic xmlns:pic="http://schemas.openxmlformats.org/drawingml/2006/picture">
                        <pic:nvPicPr>
                          <pic:cNvPr id="46" name="图形 353" descr="月历"/>
                          <pic:cNvPicPr>
                            <a:picLocks noChangeAspect="1"/>
                          </pic:cNvPicPr>
                        </pic:nvPicPr>
                        <pic:blipFill>
                          <a:blip r:embed="rId69"/>
                          <a:stretch>
                            <a:fillRect/>
                          </a:stretch>
                        </pic:blipFill>
                        <pic:spPr>
                          <a:xfrm>
                            <a:off x="3921744" y="0"/>
                            <a:ext cx="914410" cy="914448"/>
                          </a:xfrm>
                          <a:prstGeom prst="rect">
                            <a:avLst/>
                          </a:prstGeom>
                          <a:noFill/>
                          <a:ln w="9525">
                            <a:noFill/>
                          </a:ln>
                        </pic:spPr>
                      </pic:pic>
                    </wpc:wpc>
                  </a:graphicData>
                </a:graphic>
              </wp:inline>
            </w:drawing>
          </mc:Choice>
          <mc:Fallback>
            <w:pict>
              <v:group id="画布 16" o:spid="_x0000_s1026" o:spt="203" style="height:96.95pt;width:457.95pt;" coordsize="5815965,1231265" editas="canvas" o:gfxdata="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">
                <o:lock v:ext="edit" aspectratio="f"/>
                <v:rect id="画布 16" o:spid="_x0000_s1026" o:spt="1" style="position:absolute;left:0;top:0;height:1231265;width:5815965;" filled="f" stroked="f" coordsize="21600,21600" o:gfxdata="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">
                  <v:fill on="f" focussize="0,0"/>
                  <v:stroke on="f"/>
                  <v:imagedata o:title=""/>
                  <o:lock v:ext="edit" aspectratio="t"/>
                </v:rect>
                <v:shape id="文本框 381" o:spid="_x0000_s1026" o:spt="202" type="#_x0000_t202" style="position:absolute;left:610206;top:859745;height:342918;width:115251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I8YA&#10;AADcAAAADwAAAGRycy9kb3ducmV2LnhtbESPQWvCQBSE70L/w/IKvelGiyWkriIBaSl6SPTS22v2&#10;mYTuvk2zW0399a5Q8DjMzDfMYjVYI07U+9axgukkAUFcOd1yreCw34xTED4gazSOScEfeVgtH0YL&#10;zLQ7c0GnMtQiQthnqKAJocuk9FVDFv3EdcTRO7reYoiyr6Xu8Rzh1shZkrxIiy3HhQY7yhuqvstf&#10;q+Aj3+yw+JrZ9GLyt+1x3f0cPudKPT0O61cQgYZwD/+337WC53QKt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CI8YAAADcAAAADwAAAAAAAAAAAAAAAACYAgAAZHJz&#10;L2Rvd25yZXYueG1sUEsFBgAAAAAEAAQA9QAAAIsDAAAAAA==&#10;">
                  <v:fill on="f" focussize="0,0"/>
                  <v:stroke on="f" weight="0.5pt"/>
                  <v:imagedata o:title=""/>
                  <o:lock v:ext="edit" aspectratio="f"/>
                  <v:textbox>
                    <w:txbxContent>
                      <w:p>
                        <w:r>
                          <w:t>用时</w:t>
                        </w:r>
                        <w:bookmarkStart w:id="438" w:name="PO_32332A"/>
                        <w:bookmarkEnd w:id="438"/>
                        <w:r>
                          <w:t>3.15</w:t>
                        </w:r>
                        <w:r>
                          <w:rPr>
                            <w:rFonts w:hint="eastAsia"/>
                          </w:rPr>
                          <w:t>个月</w:t>
                        </w:r>
                      </w:p>
                    </w:txbxContent>
                  </v:textbox>
                </v:shape>
                <v:shape id="文本框 382" o:spid="_x0000_s1026" o:spt="202" type="#_x0000_t202" style="position:absolute;left:2813731;top:843944;height:342918;width:300223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1cVMcA&#10;AADcAAAADwAAAGRycy9kb3ducmV2LnhtbESPT2vCQBTE74V+h+UVeqsbU1pCdCMSkEppD2ou3p7Z&#10;lz+YfZtmV0399G6h4HGYmd8w88VoOnGmwbWWFUwnEQji0uqWawXFbvWSgHAeWWNnmRT8koNF9vgw&#10;x1TbC2/ovPW1CBB2KSpovO9TKV3ZkEE3sT1x8Co7GPRBDrXUA14C3HQyjqJ3abDlsNBgT3lD5XF7&#10;Mgo+89U3bg6xSa5d/vFVLfufYv+m1PPTuJyB8DT6e/i/vdYKXpMY/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dXFTHAAAA3AAAAA8AAAAAAAAAAAAAAAAAmAIAAGRy&#10;cy9kb3ducmV2LnhtbFBLBQYAAAAABAAEAPUAAACMAwAAAAA=&#10;">
                  <v:fill on="f" focussize="0,0"/>
                  <v:stroke on="f" weight="0.5pt"/>
                  <v:imagedata o:title=""/>
                  <o:lock v:ext="edit" aspectratio="f"/>
                  <v:textbox>
                    <w:txbxContent>
                      <w:p>
                        <w:r>
                          <w:rPr>
                            <w:rFonts w:hint="eastAsia"/>
                          </w:rPr>
                          <w:t>毕业前</w:t>
                        </w:r>
                        <w:bookmarkStart w:id="439" w:name="PO_32332B"/>
                        <w:bookmarkEnd w:id="439"/>
                        <w:r>
                          <w:t>5.51</w:t>
                        </w:r>
                        <w:r>
                          <w:rPr>
                            <w:rFonts w:hint="eastAsia"/>
                          </w:rPr>
                          <w:t>个月</w:t>
                        </w:r>
                        <w:r>
                          <w:t>收到第一份录用通知</w:t>
                        </w:r>
                      </w:p>
                    </w:txbxContent>
                  </v:textbox>
                </v:shape>
                <v:shape id="图形 457" o:spid="_x0000_s1026" o:spt="75" alt="日历" type="#_x0000_t75" style="position:absolute;left:695207;top:0;height:914448;width:91441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xRL/FAAAA3AAAAA8AAABkcnMvZG93bnJldi54bWxEj1FLwzAUhd8H/odwB75t6TYmpVs2RKYI&#10;grhO3OulubbR5qZL4tr9eyMIezycc77DWW8H24oz+WAcK5hNMxDEldOGawXvh8dJDiJEZI2tY1Jw&#10;oQDbzc1ojYV2Pe/pXMZaJAiHAhU0MXaFlKFqyGKYuo44eZ/OW4xJ+lpqj32C21bOs+xOWjScFhrs&#10;6KGh6rv8sQpYnrry5c3Oe+lpuXv6MF+vR6PU7Xi4X4GINMRr+L/9rBUs8gX8nUlH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8US/xQAAANwAAAAPAAAAAAAAAAAAAAAA&#10;AJ8CAABkcnMvZG93bnJldi54bWxQSwUGAAAAAAQABAD3AAAAkQMAAAAA&#10;">
                  <v:fill on="f" focussize="0,0"/>
                  <v:stroke on="f"/>
                  <v:imagedata r:id="rId68" o:title="日历"/>
                  <o:lock v:ext="edit" aspectratio="t"/>
                </v:shape>
                <v:shape id="直接箭头连接符 384" o:spid="_x0000_s1026" o:spt="32" type="#_x0000_t32" style="position:absolute;left:1609617;top:457224;height:0;width:2312125;"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sDcgAAADcAAAADwAAAGRycy9kb3ducmV2LnhtbESPT2vCQBTE70K/w/IKvZmN/4qkrmKF&#10;RqF6qLXQ3h7ZZxKafRuyq8Z8ercg9DjMzG+Y2aI1lThT40rLCgZRDII4s7rkXMHh860/BeE8ssbK&#10;Mim4koPF/KE3w0TbC3/Qee9zESDsElRQeF8nUrqsIIMusjVx8I62MeiDbHKpG7wEuKnkMI6fpcGS&#10;w0KBNa0Kyn73J6PAfk2O3bJ7TX9G6+334H0Xd2l6UOrpsV2+gPDU+v/wvb3RCkbTMfydCUd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wsDcgAAADcAAAADwAAAAAA&#10;AAAAAAAAAAChAgAAZHJzL2Rvd25yZXYueG1sUEsFBgAAAAAEAAQA+QAAAJYDAAAAAA==&#10;">
                  <v:fill on="f" focussize="0,0"/>
                  <v:stroke color="#41A7C3 [3048]" joinstyle="round" endarrow="block"/>
                  <v:imagedata o:title=""/>
                  <o:lock v:ext="edit" aspectratio="f"/>
                </v:shape>
                <v:shape id="图形 353" o:spid="_x0000_s1026" o:spt="75" alt="月历" type="#_x0000_t75" style="position:absolute;left:3921743;top:0;height:914448;width:91441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zvfHAAAA3AAAAA8AAABkcnMvZG93bnJldi54bWxEj09rwkAUxO9Cv8PyhN50o6VV02xESkXr&#10;QfBPhd4e2dckNPs2ZleTfnu3UPA4zMxvmGTemUpcqXGlZQWjYQSCOLO65FzB8bAcTEE4j6yxskwK&#10;fsnBPH3oJRhr2/KOrnufiwBhF6OCwvs6ltJlBRl0Q1sTB+/bNgZ9kE0udYNtgJtKjqPoRRosOSwU&#10;WNNbQdnP/mIUfL7ns7Nst6eVOdF5snEf6x19KfXY7xavIDx1/h7+b6+1gqfpM/ydCUdApj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szvfHAAAA3AAAAA8AAAAAAAAAAAAA&#10;AAAAnwIAAGRycy9kb3ducmV2LnhtbFBLBQYAAAAABAAEAPcAAACTAwAAAAA=&#10;">
                  <v:fill on="f" focussize="0,0"/>
                  <v:stroke on="f"/>
                  <v:imagedata r:id="rId69" o:title="月历"/>
                  <o:lock v:ext="edit" aspectratio="t"/>
                </v:shape>
                <w10:wrap type="none"/>
                <w10:anchorlock/>
              </v:group>
            </w:pict>
          </mc:Fallback>
        </mc:AlternateContent>
      </w:r>
    </w:p>
    <w:p>
      <w:pPr>
        <w:pStyle w:val="107"/>
        <w:spacing w:before="156" w:after="312"/>
      </w:pPr>
      <w:r>
        <w:rPr>
          <w:rFonts w:hint="eastAsia"/>
        </w:rPr>
        <w:t>本科生</w:t>
      </w:r>
      <w:r>
        <w:t>求职周期和收到第一份录用通知的时间</w:t>
      </w:r>
    </w:p>
    <w:p>
      <w:pPr>
        <w:pStyle w:val="67"/>
        <w:spacing w:before="156" w:after="156"/>
        <w:ind w:left="240"/>
      </w:pPr>
      <w:bookmarkStart w:id="256" w:name="_Toc486857506"/>
      <w:r>
        <w:rPr>
          <w:rFonts w:hint="eastAsia"/>
        </w:rPr>
        <w:t>4.</w:t>
      </w:r>
      <w:r>
        <w:t>求职花费</w:t>
      </w:r>
      <w:bookmarkEnd w:id="256"/>
    </w:p>
    <w:p>
      <w:pPr>
        <w:pStyle w:val="123"/>
        <w:ind w:firstLine="480"/>
      </w:pPr>
      <w:bookmarkStart w:id="257" w:name="PO_32341"/>
      <w:bookmarkEnd w:id="257"/>
      <w:r>
        <w:rPr>
          <w:rFonts w:hint="eastAsia"/>
        </w:rPr>
        <w:t>调查显示，本科生用于求职的平均花费为2186.86元（N=123，SD=3281.28）。</w:t>
      </w:r>
    </w:p>
    <w:p>
      <w:pPr>
        <w:pStyle w:val="67"/>
        <w:spacing w:before="156" w:after="156"/>
        <w:ind w:left="240"/>
      </w:pPr>
      <w:bookmarkStart w:id="258" w:name="_Toc486857507"/>
      <w:r>
        <w:rPr>
          <w:rFonts w:hint="eastAsia"/>
        </w:rPr>
        <w:t>5.</w:t>
      </w:r>
      <w:r>
        <w:t>求职渠道</w:t>
      </w:r>
      <w:bookmarkEnd w:id="258"/>
    </w:p>
    <w:p>
      <w:pPr>
        <w:pStyle w:val="123"/>
        <w:ind w:firstLine="480"/>
      </w:pPr>
      <w:bookmarkStart w:id="259" w:name="PO_32351"/>
      <w:bookmarkEnd w:id="259"/>
      <w:r>
        <w:rPr>
          <w:rFonts w:hint="eastAsia"/>
        </w:rPr>
        <w:t>从调查了解毕业生主要的求职渠道，结果显示，本校本科生最主要采用的三种求职渠道依次为校友资源、社会渠道、学校组织的招聘会。总体来看，通过学校资源求职成功的比例为</w:t>
      </w:r>
      <w:r>
        <w:t>77.48</w:t>
      </w:r>
      <w:r>
        <w:rPr>
          <w:rFonts w:hint="eastAsia"/>
        </w:rPr>
        <w:t>%。</w:t>
      </w:r>
      <w:r>
        <w:rPr>
          <w:rStyle w:val="31"/>
        </w:rPr>
        <w:footnoteReference w:id="5"/>
      </w:r>
    </w:p>
    <w:p>
      <w:pPr>
        <w:jc w:val="center"/>
      </w:pPr>
      <w:bookmarkStart w:id="260" w:name="PO_32352"/>
      <w:bookmarkEnd w:id="260"/>
      <w:r>
        <w:rPr>
          <w:rFonts w:hint="eastAsia"/>
        </w:rPr>
        <w:drawing>
          <wp:inline distT="0" distB="0" distL="0" distR="0">
            <wp:extent cx="5274310" cy="2343150"/>
            <wp:effectExtent l="19050" t="0" r="21590" b="0"/>
            <wp:docPr id="8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pStyle w:val="107"/>
        <w:spacing w:before="156" w:after="312"/>
      </w:pPr>
      <w:r>
        <w:rPr>
          <w:rFonts w:hint="eastAsia"/>
        </w:rPr>
        <w:t>本科生求职渠道</w:t>
      </w:r>
    </w:p>
    <w:p>
      <w:pPr>
        <w:pStyle w:val="41"/>
        <w:ind w:firstLine="480"/>
      </w:pPr>
    </w:p>
    <w:p>
      <w:pPr>
        <w:pStyle w:val="67"/>
        <w:spacing w:before="156" w:after="156"/>
        <w:ind w:left="240"/>
      </w:pPr>
      <w:bookmarkStart w:id="261" w:name="_Toc486857508"/>
      <w:r>
        <w:t>6</w:t>
      </w:r>
      <w:r>
        <w:rPr>
          <w:rFonts w:hint="eastAsia"/>
        </w:rPr>
        <w:t>.求职价值</w:t>
      </w:r>
      <w:r>
        <w:t>观</w:t>
      </w:r>
      <w:bookmarkEnd w:id="261"/>
    </w:p>
    <w:p>
      <w:pPr>
        <w:pStyle w:val="123"/>
        <w:ind w:firstLine="480"/>
      </w:pPr>
      <w:bookmarkStart w:id="262" w:name="PO_32361"/>
      <w:bookmarkEnd w:id="262"/>
      <w:r>
        <w:rPr>
          <w:rFonts w:hint="eastAsia"/>
        </w:rPr>
        <w:t>从本科生求职价值观来看，施展个人的能力和特长、磨练个人能力、发挥自己的创造性是本校本科生在求职时最看重的三个因素。</w:t>
      </w:r>
    </w:p>
    <w:p>
      <w:pPr>
        <w:jc w:val="center"/>
      </w:pPr>
      <w:bookmarkStart w:id="263" w:name="PO_32362"/>
      <w:bookmarkEnd w:id="263"/>
      <w:r>
        <w:drawing>
          <wp:inline distT="0" distB="0" distL="0" distR="0">
            <wp:extent cx="5200650" cy="3629025"/>
            <wp:effectExtent l="0" t="0" r="0" b="0"/>
            <wp:docPr id="86" name="图表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pPr>
        <w:pStyle w:val="107"/>
        <w:spacing w:before="156" w:after="312"/>
      </w:pPr>
      <w:r>
        <w:rPr>
          <w:rFonts w:hint="eastAsia"/>
        </w:rPr>
        <w:t>本科生求职价值观</w:t>
      </w:r>
    </w:p>
    <w:p>
      <w:pPr>
        <w:pStyle w:val="41"/>
        <w:ind w:firstLine="480"/>
      </w:pPr>
    </w:p>
    <w:p>
      <w:pPr>
        <w:pStyle w:val="47"/>
        <w:spacing w:before="312" w:after="156"/>
      </w:pPr>
      <w:bookmarkStart w:id="264" w:name="_Toc486857509"/>
      <w:r>
        <w:rPr>
          <w:rFonts w:hint="eastAsia"/>
        </w:rPr>
        <w:t>三</w:t>
      </w:r>
      <w:r>
        <w:t>、</w:t>
      </w:r>
      <w:r>
        <w:rPr>
          <w:rFonts w:hint="eastAsia"/>
        </w:rPr>
        <w:t>研究生调查数据分析</w:t>
      </w:r>
      <w:bookmarkEnd w:id="264"/>
    </w:p>
    <w:p>
      <w:pPr>
        <w:pStyle w:val="41"/>
        <w:spacing w:before="312" w:after="156"/>
        <w:ind w:firstLine="480"/>
      </w:pPr>
      <w:bookmarkStart w:id="265" w:name="_Toc486857510"/>
      <w:r>
        <w:rPr>
          <w:rFonts w:hint="eastAsia"/>
        </w:rPr>
        <w:t>为了使学校</w:t>
      </w:r>
      <w:r>
        <w:t>人才培养工作</w:t>
      </w:r>
      <w:r>
        <w:rPr>
          <w:rFonts w:hint="eastAsia"/>
        </w:rPr>
        <w:t>及</w:t>
      </w:r>
      <w:r>
        <w:t>就业创业服务工作</w:t>
      </w:r>
      <w:r>
        <w:rPr>
          <w:rFonts w:hint="eastAsia"/>
        </w:rPr>
        <w:t>，与研究生对教育教学反馈、</w:t>
      </w:r>
      <w:r>
        <w:t>就业</w:t>
      </w:r>
      <w:r>
        <w:rPr>
          <w:rFonts w:hint="eastAsia"/>
        </w:rPr>
        <w:t>创业</w:t>
      </w:r>
      <w:r>
        <w:t>需求</w:t>
      </w:r>
      <w:r>
        <w:rPr>
          <w:rFonts w:hint="eastAsia"/>
        </w:rPr>
        <w:t>等更有效地衔接</w:t>
      </w:r>
      <w:r>
        <w:t>，本部分</w:t>
      </w:r>
      <w:r>
        <w:rPr>
          <w:rFonts w:hint="eastAsia"/>
        </w:rPr>
        <w:t>调研包括了研究生对专业培养及就业创业</w:t>
      </w:r>
      <w:r>
        <w:t>教育反馈</w:t>
      </w:r>
      <w:r>
        <w:rPr>
          <w:rFonts w:hint="eastAsia"/>
        </w:rPr>
        <w:t>和</w:t>
      </w:r>
      <w:r>
        <w:t>就业</w:t>
      </w:r>
      <w:r>
        <w:rPr>
          <w:rFonts w:hint="eastAsia"/>
        </w:rPr>
        <w:t>过程、就业结果</w:t>
      </w:r>
      <w:r>
        <w:t>等方面</w:t>
      </w:r>
      <w:r>
        <w:rPr>
          <w:rFonts w:hint="eastAsia"/>
        </w:rPr>
        <w:t>的内容。</w:t>
      </w:r>
    </w:p>
    <w:p>
      <w:pPr>
        <w:pStyle w:val="49"/>
        <w:spacing w:before="156" w:after="156"/>
        <w:ind w:left="120"/>
      </w:pPr>
      <w:r>
        <w:rPr>
          <w:rFonts w:hint="eastAsia"/>
        </w:rPr>
        <w:t>（一）研究生专业培养及就业创业教育反馈</w:t>
      </w:r>
      <w:bookmarkEnd w:id="265"/>
    </w:p>
    <w:p>
      <w:pPr>
        <w:pStyle w:val="67"/>
        <w:spacing w:before="156" w:after="156"/>
        <w:ind w:left="240"/>
      </w:pPr>
      <w:bookmarkStart w:id="266" w:name="_Toc486857511"/>
      <w:r>
        <w:rPr>
          <w:rFonts w:hint="eastAsia"/>
        </w:rPr>
        <w:t>1.专业认同情况</w:t>
      </w:r>
      <w:bookmarkEnd w:id="266"/>
    </w:p>
    <w:p>
      <w:pPr>
        <w:pStyle w:val="70"/>
        <w:spacing w:before="156" w:after="156"/>
        <w:ind w:left="360"/>
      </w:pPr>
      <w:r>
        <w:rPr>
          <w:rFonts w:hint="eastAsia"/>
        </w:rPr>
        <w:t>（1）选择本</w:t>
      </w:r>
      <w:r>
        <w:t>专业的方式</w:t>
      </w:r>
    </w:p>
    <w:p>
      <w:pPr>
        <w:pStyle w:val="123"/>
        <w:ind w:firstLine="480"/>
      </w:pPr>
      <w:bookmarkStart w:id="267" w:name="PO_331111"/>
      <w:bookmarkEnd w:id="267"/>
      <w:r>
        <w:rPr>
          <w:rFonts w:hint="eastAsia"/>
        </w:rPr>
        <w:t>在专业选择方式上，95.56%的研究生是自主选择，其次是听取他人推荐（3.33%）。</w:t>
      </w:r>
    </w:p>
    <w:p>
      <w:pPr>
        <w:jc w:val="center"/>
      </w:pPr>
      <w:bookmarkStart w:id="268" w:name="PO_331112"/>
      <w:bookmarkEnd w:id="268"/>
      <w:r>
        <w:rPr>
          <w:rFonts w:hint="eastAsia"/>
        </w:rPr>
        <w:drawing>
          <wp:inline distT="0" distB="0" distL="0" distR="0">
            <wp:extent cx="5026025" cy="3133725"/>
            <wp:effectExtent l="19050" t="0" r="22225" b="0"/>
            <wp:docPr id="8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pStyle w:val="107"/>
        <w:spacing w:before="156" w:after="312"/>
      </w:pPr>
      <w:r>
        <w:rPr>
          <w:rFonts w:hint="eastAsia"/>
        </w:rPr>
        <w:t>研究生选择本专业的方式</w:t>
      </w:r>
    </w:p>
    <w:p>
      <w:pPr>
        <w:pStyle w:val="123"/>
        <w:ind w:firstLine="482"/>
      </w:pPr>
      <w:r>
        <w:rPr>
          <w:rFonts w:hint="eastAsia"/>
          <w:b/>
        </w:rPr>
        <w:t>就专业而言</w:t>
      </w:r>
      <w:r>
        <w:rPr>
          <w:rFonts w:hint="eastAsia"/>
        </w:rPr>
        <w:t>，卡方检验显示，不同专业硕士生的专业选择方式</w:t>
      </w:r>
      <w:r>
        <w:t>不存在显著差异</w:t>
      </w:r>
      <w:r>
        <w:rPr>
          <w:rFonts w:hint="eastAsia"/>
        </w:rPr>
        <w:t>（</w:t>
      </w:r>
      <m:oMath>
        <m:sSup>
          <m:sSupPr>
            <m:ctrlPr>
              <w:rPr>
                <w:rFonts w:ascii="Cambria Math" w:hAnsi="Cambria Math"/>
                <w:color w:val="000000" w:themeColor="text1"/>
              </w:rPr>
            </m:ctrlPr>
          </m:sSupPr>
          <m:e>
            <m:r>
              <w:rPr>
                <w:rFonts w:ascii="Cambria Math" w:hAnsi="Cambria Math"/>
                <w:color w:val="000000" w:themeColor="text1"/>
              </w:rPr>
              <m:t>χ</m:t>
            </m:r>
            <m:ctrlPr>
              <w:rPr>
                <w:rFonts w:ascii="Cambria Math" w:hAnsi="Cambria Math"/>
                <w:color w:val="000000" w:themeColor="text1"/>
              </w:rPr>
            </m:ctrlPr>
          </m:e>
          <m:sup>
            <m:r>
              <w:rPr>
                <w:rFonts w:ascii="Cambria Math" w:hAnsi="Cambria Math"/>
                <w:color w:val="000000" w:themeColor="text1"/>
              </w:rPr>
              <m:t>2</m:t>
            </m:r>
            <m:ctrlPr>
              <w:rPr>
                <w:rFonts w:ascii="Cambria Math" w:hAnsi="Cambria Math"/>
                <w:color w:val="000000" w:themeColor="text1"/>
              </w:rPr>
            </m:ctrlPr>
          </m:sup>
        </m:sSup>
      </m:oMath>
      <w:r>
        <w:rPr>
          <w:rFonts w:hint="eastAsia"/>
        </w:rPr>
        <w:t>=2.77，p&gt;0.05），不同专业博士生的专业选择方式不存在显著差异（</w:t>
      </w:r>
      <m:oMath>
        <m:sSup>
          <m:sSupPr>
            <m:ctrlPr>
              <w:rPr>
                <w:rFonts w:ascii="Cambria Math" w:hAnsi="Cambria Math"/>
                <w:color w:val="000000" w:themeColor="text1"/>
              </w:rPr>
            </m:ctrlPr>
          </m:sSupPr>
          <m:e>
            <m:r>
              <w:rPr>
                <w:rFonts w:ascii="Cambria Math" w:hAnsi="Cambria Math"/>
                <w:color w:val="000000" w:themeColor="text1"/>
              </w:rPr>
              <m:t>χ</m:t>
            </m:r>
            <m:ctrlPr>
              <w:rPr>
                <w:rFonts w:ascii="Cambria Math" w:hAnsi="Cambria Math"/>
                <w:color w:val="000000" w:themeColor="text1"/>
              </w:rPr>
            </m:ctrlPr>
          </m:e>
          <m:sup>
            <m:r>
              <w:rPr>
                <w:rFonts w:ascii="Cambria Math" w:hAnsi="Cambria Math"/>
                <w:color w:val="000000" w:themeColor="text1"/>
              </w:rPr>
              <m:t>2</m:t>
            </m:r>
            <m:ctrlPr>
              <w:rPr>
                <w:rFonts w:ascii="Cambria Math" w:hAnsi="Cambria Math"/>
                <w:color w:val="000000" w:themeColor="text1"/>
              </w:rPr>
            </m:ctrlPr>
          </m:sup>
        </m:sSup>
      </m:oMath>
      <w:r>
        <w:rPr>
          <w:rFonts w:hint="eastAsia"/>
        </w:rPr>
        <w:t>=1.03，p&gt;0.05）。</w:t>
      </w:r>
    </w:p>
    <w:p>
      <w:bookmarkStart w:id="269" w:name="PO_331115"/>
      <w:bookmarkEnd w:id="269"/>
    </w:p>
    <w:p>
      <w:pPr>
        <w:pStyle w:val="55"/>
        <w:spacing w:before="312" w:after="156"/>
      </w:pPr>
      <w:bookmarkStart w:id="270" w:name="PO_331116"/>
      <w:bookmarkEnd w:id="270"/>
      <w:r>
        <w:rPr>
          <w:rFonts w:hint="eastAsia"/>
        </w:rPr>
        <w:t>不同专业硕士研究生选择本专业的方式（%）</w:t>
      </w:r>
    </w:p>
    <w:tbl>
      <w:tblPr>
        <w:tblStyle w:val="125"/>
        <w:tblW w:w="9035" w:type="dxa"/>
        <w:jc w:val="center"/>
        <w:tblInd w:w="0"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3342"/>
        <w:gridCol w:w="1134"/>
        <w:gridCol w:w="1134"/>
        <w:gridCol w:w="1382"/>
        <w:gridCol w:w="1091"/>
        <w:gridCol w:w="952"/>
      </w:tblGrid>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415" w:hRule="atLeast"/>
          <w:jc w:val="center"/>
        </w:trPr>
        <w:tc>
          <w:tcPr>
            <w:tcW w:w="3342" w:type="dxa"/>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hint="eastAsia" w:cs="Times New Roman"/>
                <w:b/>
                <w:bCs/>
                <w:color w:val="FFFFFF" w:themeColor="background1"/>
                <w:kern w:val="0"/>
                <w:sz w:val="21"/>
                <w:szCs w:val="21"/>
              </w:rPr>
              <w:t>专业</w:t>
            </w:r>
          </w:p>
        </w:tc>
        <w:tc>
          <w:tcPr>
            <w:tcW w:w="1134"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hint="eastAsia"/>
                <w:b/>
                <w:bCs/>
                <w:color w:val="FFFFFF" w:themeColor="background1"/>
                <w:sz w:val="21"/>
              </w:rPr>
              <w:t>自主选择</w:t>
            </w:r>
          </w:p>
        </w:tc>
        <w:tc>
          <w:tcPr>
            <w:tcW w:w="1134"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hint="eastAsia"/>
                <w:b/>
                <w:bCs/>
                <w:color w:val="FFFFFF" w:themeColor="background1"/>
                <w:sz w:val="21"/>
              </w:rPr>
              <w:t>父母意见</w:t>
            </w:r>
          </w:p>
        </w:tc>
        <w:tc>
          <w:tcPr>
            <w:tcW w:w="1382"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hint="eastAsia"/>
                <w:b/>
                <w:bCs/>
                <w:color w:val="FFFFFF" w:themeColor="background1"/>
                <w:sz w:val="21"/>
              </w:rPr>
              <w:t>他人推荐（除父母外）</w:t>
            </w:r>
          </w:p>
        </w:tc>
        <w:tc>
          <w:tcPr>
            <w:tcW w:w="1091"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hint="eastAsia"/>
                <w:b/>
                <w:bCs/>
                <w:color w:val="FFFFFF" w:themeColor="background1"/>
                <w:sz w:val="21"/>
              </w:rPr>
              <w:t>专业调剂</w:t>
            </w:r>
          </w:p>
        </w:tc>
        <w:tc>
          <w:tcPr>
            <w:tcW w:w="952" w:type="dxa"/>
            <w:tcBorders>
              <w:top w:val="single" w:color="4BACC6" w:themeColor="accent5" w:sz="4" w:space="0"/>
              <w:bottom w:val="single" w:color="4BACC6" w:themeColor="accent5" w:sz="4" w:space="0"/>
              <w:right w:val="single" w:color="4BACC6" w:themeColor="accent5" w:sz="4" w:space="0"/>
              <w:insideH w:val="single" w:sz="4" w:space="0"/>
              <w:insideV w:val="nil"/>
            </w:tcBorders>
            <w:shd w:val="clear" w:color="auto" w:fill="4BACC6" w:themeFill="accent5"/>
            <w:vAlign w:val="center"/>
          </w:tcPr>
          <w:p>
            <w:pPr>
              <w:widowControl/>
              <w:jc w:val="center"/>
              <w:rPr>
                <w:b/>
                <w:bCs/>
                <w:color w:val="FFFFFF" w:themeColor="background1"/>
                <w:sz w:val="21"/>
              </w:rPr>
            </w:pPr>
            <w:r>
              <w:rPr>
                <w:rFonts w:hint="eastAsia"/>
                <w:b/>
                <w:bCs/>
                <w:color w:val="FFFFFF" w:themeColor="background1"/>
                <w:sz w:val="21"/>
              </w:rPr>
              <w:t>其他</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30" w:hRule="atLeast"/>
          <w:jc w:val="center"/>
        </w:trPr>
        <w:tc>
          <w:tcPr>
            <w:tcW w:w="3342" w:type="dxa"/>
            <w:shd w:val="clear" w:color="auto" w:fill="DAEEF3" w:themeFill="accent5" w:themeFillTint="33"/>
            <w:vAlign w:val="center"/>
          </w:tcPr>
          <w:p>
            <w:pPr>
              <w:widowControl/>
              <w:jc w:val="left"/>
              <w:rPr>
                <w:rFonts w:ascii="Times New Roman" w:hAnsi="Times New Roman" w:cs="Times New Roman"/>
                <w:b/>
                <w:bCs/>
                <w:color w:val="000000"/>
                <w:kern w:val="0"/>
                <w:sz w:val="21"/>
                <w:szCs w:val="21"/>
              </w:rPr>
            </w:pPr>
            <w:r>
              <w:rPr>
                <w:rFonts w:hint="eastAsia" w:ascii="宋体" w:eastAsia="宋体" w:cs="宋体"/>
                <w:b/>
                <w:bCs/>
                <w:color w:val="000000"/>
                <w:kern w:val="0"/>
                <w:sz w:val="21"/>
                <w:szCs w:val="21"/>
              </w:rPr>
              <w:t>戏剧</w:t>
            </w:r>
          </w:p>
        </w:tc>
        <w:tc>
          <w:tcPr>
            <w:tcW w:w="1134"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sz w:val="21"/>
              </w:rPr>
              <w:t>96.15</w:t>
            </w:r>
          </w:p>
        </w:tc>
        <w:tc>
          <w:tcPr>
            <w:tcW w:w="1134"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0.00</w:t>
            </w:r>
          </w:p>
        </w:tc>
        <w:tc>
          <w:tcPr>
            <w:tcW w:w="1382"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3.85</w:t>
            </w:r>
          </w:p>
        </w:tc>
        <w:tc>
          <w:tcPr>
            <w:tcW w:w="1091"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sz w:val="21"/>
              </w:rPr>
              <w:t>0.00</w:t>
            </w:r>
          </w:p>
        </w:tc>
        <w:tc>
          <w:tcPr>
            <w:tcW w:w="952"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30" w:hRule="atLeast"/>
          <w:jc w:val="center"/>
        </w:trPr>
        <w:tc>
          <w:tcPr>
            <w:tcW w:w="3342" w:type="dxa"/>
            <w:vAlign w:val="center"/>
          </w:tcPr>
          <w:p>
            <w:pPr>
              <w:widowControl/>
              <w:jc w:val="left"/>
              <w:rPr>
                <w:rFonts w:ascii="Times New Roman" w:hAnsi="Times New Roman" w:cs="Times New Roman"/>
                <w:b/>
                <w:bCs/>
                <w:color w:val="000000"/>
                <w:kern w:val="0"/>
                <w:sz w:val="21"/>
                <w:szCs w:val="21"/>
              </w:rPr>
            </w:pPr>
            <w:r>
              <w:rPr>
                <w:rFonts w:hint="eastAsia" w:ascii="宋体" w:eastAsia="宋体" w:cs="宋体"/>
                <w:b/>
                <w:bCs/>
                <w:color w:val="000000"/>
                <w:kern w:val="0"/>
                <w:sz w:val="21"/>
                <w:szCs w:val="21"/>
              </w:rPr>
              <w:t>戏剧与影视学</w:t>
            </w:r>
          </w:p>
        </w:tc>
        <w:tc>
          <w:tcPr>
            <w:tcW w:w="1134"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sz w:val="21"/>
              </w:rPr>
              <w:t>93.75</w:t>
            </w:r>
          </w:p>
        </w:tc>
        <w:tc>
          <w:tcPr>
            <w:tcW w:w="1134" w:type="dxa"/>
            <w:vAlign w:val="center"/>
          </w:tcPr>
          <w:p>
            <w:pPr>
              <w:widowControl/>
              <w:jc w:val="center"/>
              <w:rPr>
                <w:rFonts w:ascii="Times New Roman" w:hAnsi="Times New Roman" w:cs="Times New Roman"/>
                <w:sz w:val="21"/>
              </w:rPr>
            </w:pPr>
            <w:r>
              <w:rPr>
                <w:rFonts w:ascii="Times New Roman" w:hAnsi="Times New Roman" w:cs="Times New Roman"/>
                <w:sz w:val="21"/>
              </w:rPr>
              <w:t>2.08</w:t>
            </w:r>
          </w:p>
        </w:tc>
        <w:tc>
          <w:tcPr>
            <w:tcW w:w="1382" w:type="dxa"/>
            <w:vAlign w:val="center"/>
          </w:tcPr>
          <w:p>
            <w:pPr>
              <w:widowControl/>
              <w:jc w:val="center"/>
              <w:rPr>
                <w:rFonts w:ascii="Times New Roman" w:hAnsi="Times New Roman" w:cs="Times New Roman"/>
                <w:sz w:val="21"/>
              </w:rPr>
            </w:pPr>
            <w:r>
              <w:rPr>
                <w:rFonts w:ascii="Times New Roman" w:hAnsi="Times New Roman" w:cs="Times New Roman"/>
                <w:sz w:val="21"/>
              </w:rPr>
              <w:t>4.17</w:t>
            </w:r>
          </w:p>
        </w:tc>
        <w:tc>
          <w:tcPr>
            <w:tcW w:w="1091"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sz w:val="21"/>
              </w:rPr>
              <w:t>0.00</w:t>
            </w:r>
          </w:p>
        </w:tc>
        <w:tc>
          <w:tcPr>
            <w:tcW w:w="952" w:type="dxa"/>
            <w:vAlign w:val="center"/>
          </w:tcPr>
          <w:p>
            <w:pPr>
              <w:widowControl/>
              <w:jc w:val="center"/>
              <w:rPr>
                <w:rFonts w:ascii="Times New Roman" w:hAnsi="Times New Roman" w:cs="Times New Roman"/>
                <w:sz w:val="21"/>
              </w:rPr>
            </w:pPr>
            <w:r>
              <w:rPr>
                <w:rFonts w:ascii="Times New Roman" w:hAnsi="Times New Roman" w:cs="Times New Roman"/>
                <w:sz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30" w:hRule="atLeast"/>
          <w:jc w:val="center"/>
        </w:trPr>
        <w:tc>
          <w:tcPr>
            <w:tcW w:w="3342" w:type="dxa"/>
            <w:shd w:val="clear" w:color="auto" w:fill="DAEEF3" w:themeFill="accent5" w:themeFillTint="33"/>
            <w:vAlign w:val="center"/>
          </w:tcPr>
          <w:p>
            <w:pPr>
              <w:widowControl/>
              <w:jc w:val="left"/>
              <w:rPr>
                <w:rFonts w:ascii="宋体" w:eastAsia="宋体" w:cs="宋体"/>
                <w:b/>
                <w:bCs/>
                <w:color w:val="000000"/>
                <w:kern w:val="0"/>
                <w:sz w:val="21"/>
                <w:szCs w:val="21"/>
              </w:rPr>
            </w:pPr>
            <w:r>
              <w:rPr>
                <w:rFonts w:hint="eastAsia" w:ascii="宋体" w:eastAsia="宋体" w:cs="宋体"/>
                <w:b/>
                <w:bCs/>
                <w:color w:val="000000"/>
                <w:kern w:val="0"/>
                <w:sz w:val="21"/>
                <w:szCs w:val="21"/>
              </w:rPr>
              <w:t>艺术学理论</w:t>
            </w:r>
          </w:p>
        </w:tc>
        <w:tc>
          <w:tcPr>
            <w:tcW w:w="1134"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100.00</w:t>
            </w:r>
          </w:p>
        </w:tc>
        <w:tc>
          <w:tcPr>
            <w:tcW w:w="1134"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0.00</w:t>
            </w:r>
          </w:p>
        </w:tc>
        <w:tc>
          <w:tcPr>
            <w:tcW w:w="1382"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0.00</w:t>
            </w:r>
          </w:p>
        </w:tc>
        <w:tc>
          <w:tcPr>
            <w:tcW w:w="1091"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0.00</w:t>
            </w:r>
          </w:p>
        </w:tc>
        <w:tc>
          <w:tcPr>
            <w:tcW w:w="952"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0.00</w:t>
            </w:r>
          </w:p>
        </w:tc>
      </w:tr>
    </w:tbl>
    <w:p/>
    <w:p>
      <w:pPr>
        <w:pStyle w:val="55"/>
        <w:spacing w:before="312" w:after="156"/>
      </w:pPr>
      <w:r>
        <w:rPr>
          <w:rFonts w:hint="eastAsia"/>
        </w:rPr>
        <w:t>不同专业博士生研究生选择本专业的方式（%）</w:t>
      </w:r>
    </w:p>
    <w:tbl>
      <w:tblPr>
        <w:tblStyle w:val="125"/>
        <w:tblW w:w="9035" w:type="dxa"/>
        <w:jc w:val="center"/>
        <w:tblInd w:w="0"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3342"/>
        <w:gridCol w:w="1134"/>
        <w:gridCol w:w="1134"/>
        <w:gridCol w:w="1382"/>
        <w:gridCol w:w="1091"/>
        <w:gridCol w:w="952"/>
      </w:tblGrid>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415" w:hRule="atLeast"/>
          <w:jc w:val="center"/>
        </w:trPr>
        <w:tc>
          <w:tcPr>
            <w:tcW w:w="3342" w:type="dxa"/>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hint="eastAsia" w:cs="Times New Roman"/>
                <w:b/>
                <w:bCs/>
                <w:color w:val="FFFFFF" w:themeColor="background1"/>
                <w:kern w:val="0"/>
                <w:sz w:val="21"/>
                <w:szCs w:val="21"/>
              </w:rPr>
              <w:t>专业</w:t>
            </w:r>
          </w:p>
        </w:tc>
        <w:tc>
          <w:tcPr>
            <w:tcW w:w="1134"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hint="eastAsia"/>
                <w:b/>
                <w:bCs/>
                <w:color w:val="FFFFFF" w:themeColor="background1"/>
                <w:sz w:val="21"/>
              </w:rPr>
              <w:t>自主选择</w:t>
            </w:r>
          </w:p>
        </w:tc>
        <w:tc>
          <w:tcPr>
            <w:tcW w:w="1134"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hint="eastAsia"/>
                <w:b/>
                <w:bCs/>
                <w:color w:val="FFFFFF" w:themeColor="background1"/>
                <w:sz w:val="21"/>
              </w:rPr>
              <w:t>父母意见</w:t>
            </w:r>
          </w:p>
        </w:tc>
        <w:tc>
          <w:tcPr>
            <w:tcW w:w="1382"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hint="eastAsia"/>
                <w:b/>
                <w:bCs/>
                <w:color w:val="FFFFFF" w:themeColor="background1"/>
                <w:sz w:val="21"/>
              </w:rPr>
              <w:t>他人推荐（除父母外）</w:t>
            </w:r>
          </w:p>
        </w:tc>
        <w:tc>
          <w:tcPr>
            <w:tcW w:w="1091"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hint="eastAsia"/>
                <w:b/>
                <w:bCs/>
                <w:color w:val="FFFFFF" w:themeColor="background1"/>
                <w:sz w:val="21"/>
              </w:rPr>
              <w:t>专业调剂</w:t>
            </w:r>
          </w:p>
        </w:tc>
        <w:tc>
          <w:tcPr>
            <w:tcW w:w="952" w:type="dxa"/>
            <w:tcBorders>
              <w:top w:val="single" w:color="4BACC6" w:themeColor="accent5" w:sz="4" w:space="0"/>
              <w:bottom w:val="single" w:color="4BACC6" w:themeColor="accent5" w:sz="4" w:space="0"/>
              <w:right w:val="single" w:color="4BACC6" w:themeColor="accent5" w:sz="4" w:space="0"/>
              <w:insideH w:val="single" w:sz="4" w:space="0"/>
              <w:insideV w:val="nil"/>
            </w:tcBorders>
            <w:shd w:val="clear" w:color="auto" w:fill="4BACC6" w:themeFill="accent5"/>
            <w:vAlign w:val="center"/>
          </w:tcPr>
          <w:p>
            <w:pPr>
              <w:widowControl/>
              <w:jc w:val="center"/>
              <w:rPr>
                <w:b/>
                <w:bCs/>
                <w:color w:val="FFFFFF" w:themeColor="background1"/>
                <w:sz w:val="21"/>
              </w:rPr>
            </w:pPr>
            <w:r>
              <w:rPr>
                <w:rFonts w:hint="eastAsia"/>
                <w:b/>
                <w:bCs/>
                <w:color w:val="FFFFFF" w:themeColor="background1"/>
                <w:sz w:val="21"/>
              </w:rPr>
              <w:t>其他</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30" w:hRule="atLeast"/>
          <w:jc w:val="center"/>
        </w:trPr>
        <w:tc>
          <w:tcPr>
            <w:tcW w:w="3342" w:type="dxa"/>
            <w:shd w:val="clear" w:color="auto" w:fill="DAEEF3" w:themeFill="accent5" w:themeFillTint="33"/>
            <w:vAlign w:val="center"/>
          </w:tcPr>
          <w:p>
            <w:pPr>
              <w:widowControl/>
              <w:jc w:val="left"/>
              <w:rPr>
                <w:rFonts w:ascii="Times New Roman" w:hAnsi="Times New Roman" w:cs="Times New Roman"/>
                <w:b/>
                <w:bCs/>
                <w:color w:val="000000"/>
                <w:kern w:val="0"/>
                <w:sz w:val="21"/>
                <w:szCs w:val="21"/>
              </w:rPr>
            </w:pPr>
            <w:r>
              <w:rPr>
                <w:rFonts w:hint="eastAsia" w:ascii="宋体" w:eastAsia="宋体" w:cs="宋体"/>
                <w:b/>
                <w:bCs/>
                <w:color w:val="000000"/>
                <w:kern w:val="0"/>
                <w:sz w:val="21"/>
                <w:szCs w:val="21"/>
              </w:rPr>
              <w:t>戏剧与影视学</w:t>
            </w:r>
          </w:p>
        </w:tc>
        <w:tc>
          <w:tcPr>
            <w:tcW w:w="1134"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sz w:val="21"/>
              </w:rPr>
              <w:t>84.62</w:t>
            </w:r>
          </w:p>
        </w:tc>
        <w:tc>
          <w:tcPr>
            <w:tcW w:w="1134"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0.00</w:t>
            </w:r>
          </w:p>
        </w:tc>
        <w:tc>
          <w:tcPr>
            <w:tcW w:w="1382"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15.38</w:t>
            </w:r>
          </w:p>
        </w:tc>
        <w:tc>
          <w:tcPr>
            <w:tcW w:w="1091"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sz w:val="21"/>
              </w:rPr>
              <w:t>0.00</w:t>
            </w:r>
          </w:p>
        </w:tc>
        <w:tc>
          <w:tcPr>
            <w:tcW w:w="952"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30" w:hRule="atLeast"/>
          <w:jc w:val="center"/>
        </w:trPr>
        <w:tc>
          <w:tcPr>
            <w:tcW w:w="3342" w:type="dxa"/>
            <w:vAlign w:val="center"/>
          </w:tcPr>
          <w:p>
            <w:pPr>
              <w:widowControl/>
              <w:jc w:val="left"/>
              <w:rPr>
                <w:rFonts w:ascii="Times New Roman" w:hAnsi="Times New Roman" w:cs="Times New Roman"/>
                <w:b/>
                <w:bCs/>
                <w:color w:val="000000"/>
                <w:kern w:val="0"/>
                <w:sz w:val="21"/>
                <w:szCs w:val="21"/>
              </w:rPr>
            </w:pPr>
            <w:r>
              <w:rPr>
                <w:rFonts w:hint="eastAsia" w:ascii="宋体" w:eastAsia="宋体" w:cs="宋体"/>
                <w:b/>
                <w:bCs/>
                <w:color w:val="000000"/>
                <w:kern w:val="0"/>
                <w:sz w:val="21"/>
                <w:szCs w:val="21"/>
              </w:rPr>
              <w:t>艺术学理论</w:t>
            </w:r>
          </w:p>
        </w:tc>
        <w:tc>
          <w:tcPr>
            <w:tcW w:w="1134"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sz w:val="21"/>
              </w:rPr>
              <w:t>100.00</w:t>
            </w:r>
          </w:p>
        </w:tc>
        <w:tc>
          <w:tcPr>
            <w:tcW w:w="1134" w:type="dxa"/>
            <w:vAlign w:val="center"/>
          </w:tcPr>
          <w:p>
            <w:pPr>
              <w:widowControl/>
              <w:jc w:val="center"/>
              <w:rPr>
                <w:rFonts w:ascii="Times New Roman" w:hAnsi="Times New Roman" w:cs="Times New Roman"/>
                <w:sz w:val="21"/>
              </w:rPr>
            </w:pPr>
            <w:r>
              <w:rPr>
                <w:rFonts w:ascii="Times New Roman" w:hAnsi="Times New Roman" w:cs="Times New Roman"/>
                <w:sz w:val="21"/>
              </w:rPr>
              <w:t>0.00</w:t>
            </w:r>
          </w:p>
        </w:tc>
        <w:tc>
          <w:tcPr>
            <w:tcW w:w="1382" w:type="dxa"/>
            <w:vAlign w:val="center"/>
          </w:tcPr>
          <w:p>
            <w:pPr>
              <w:widowControl/>
              <w:jc w:val="center"/>
              <w:rPr>
                <w:rFonts w:ascii="Times New Roman" w:hAnsi="Times New Roman" w:cs="Times New Roman"/>
                <w:sz w:val="21"/>
              </w:rPr>
            </w:pPr>
            <w:r>
              <w:rPr>
                <w:rFonts w:ascii="Times New Roman" w:hAnsi="Times New Roman" w:cs="Times New Roman"/>
                <w:sz w:val="21"/>
              </w:rPr>
              <w:t>0.00</w:t>
            </w:r>
          </w:p>
        </w:tc>
        <w:tc>
          <w:tcPr>
            <w:tcW w:w="1091"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sz w:val="21"/>
              </w:rPr>
              <w:t>0.00</w:t>
            </w:r>
          </w:p>
        </w:tc>
        <w:tc>
          <w:tcPr>
            <w:tcW w:w="952" w:type="dxa"/>
            <w:vAlign w:val="center"/>
          </w:tcPr>
          <w:p>
            <w:pPr>
              <w:widowControl/>
              <w:jc w:val="center"/>
              <w:rPr>
                <w:rFonts w:ascii="Times New Roman" w:hAnsi="Times New Roman" w:cs="Times New Roman"/>
                <w:sz w:val="21"/>
              </w:rPr>
            </w:pPr>
            <w:r>
              <w:rPr>
                <w:rFonts w:ascii="Times New Roman" w:hAnsi="Times New Roman" w:cs="Times New Roman"/>
                <w:sz w:val="21"/>
              </w:rPr>
              <w:t>0.00</w:t>
            </w:r>
          </w:p>
        </w:tc>
      </w:tr>
    </w:tbl>
    <w:p/>
    <w:p>
      <w:pPr>
        <w:pStyle w:val="70"/>
        <w:spacing w:before="156" w:after="156"/>
        <w:ind w:left="360"/>
      </w:pPr>
      <w:r>
        <w:rPr>
          <w:rFonts w:hint="eastAsia"/>
        </w:rPr>
        <w:t>（2）对本</w:t>
      </w:r>
      <w:r>
        <w:t>专业的</w:t>
      </w:r>
      <w:r>
        <w:rPr>
          <w:rFonts w:hint="eastAsia"/>
        </w:rPr>
        <w:t>态度</w:t>
      </w:r>
    </w:p>
    <w:p>
      <w:pPr>
        <w:pStyle w:val="123"/>
        <w:ind w:firstLine="480"/>
      </w:pPr>
      <w:bookmarkStart w:id="271" w:name="PO_331121"/>
      <w:bookmarkEnd w:id="271"/>
      <w:r>
        <w:rPr>
          <w:rFonts w:hint="eastAsia"/>
        </w:rPr>
        <w:t>对于本专业的态度，90.00%的研究生表示“很喜欢”或“喜欢”所学专业，1.11%则表示“不喜欢”本专业。</w:t>
      </w:r>
    </w:p>
    <w:p>
      <w:pPr>
        <w:jc w:val="center"/>
      </w:pPr>
      <w:bookmarkStart w:id="272" w:name="PO_331122"/>
      <w:bookmarkEnd w:id="272"/>
      <w:r>
        <w:rPr>
          <w:rFonts w:hint="eastAsia"/>
        </w:rPr>
        <w:drawing>
          <wp:inline distT="0" distB="0" distL="0" distR="0">
            <wp:extent cx="5007610" cy="2286000"/>
            <wp:effectExtent l="0" t="0" r="2540" b="0"/>
            <wp:docPr id="8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pStyle w:val="107"/>
        <w:spacing w:before="156" w:after="312"/>
      </w:pPr>
      <w:r>
        <w:rPr>
          <w:rFonts w:hint="eastAsia"/>
        </w:rPr>
        <w:t>研究生对待本专业的态度</w:t>
      </w:r>
    </w:p>
    <w:p>
      <w:pPr>
        <w:pStyle w:val="123"/>
        <w:ind w:firstLine="482"/>
      </w:pPr>
      <w:r>
        <w:rPr>
          <w:rFonts w:hint="eastAsia"/>
          <w:b/>
        </w:rPr>
        <w:t>就专业而言</w:t>
      </w:r>
      <w:r>
        <w:rPr>
          <w:rFonts w:hint="eastAsia"/>
        </w:rPr>
        <w:t>，</w:t>
      </w:r>
      <w:bookmarkStart w:id="273" w:name="PO_331124"/>
      <w:bookmarkEnd w:id="273"/>
      <w:r>
        <w:rPr>
          <w:rFonts w:hint="eastAsia"/>
        </w:rPr>
        <w:t>方差检验显示，不同专业的硕士生对本专业的喜欢程度不存在显著差异（F=0.38，p&gt;0.05），不同专业的博士生对本专业的喜欢程度不存在显著差异（F=0.13，p&gt;0.05）。</w:t>
      </w:r>
    </w:p>
    <w:p>
      <w:pPr>
        <w:pStyle w:val="123"/>
        <w:ind w:firstLine="480"/>
      </w:pPr>
    </w:p>
    <w:p>
      <w:pPr>
        <w:jc w:val="center"/>
      </w:pPr>
      <w:r>
        <w:rPr>
          <w:rFonts w:hint="eastAsia"/>
        </w:rPr>
        <w:drawing>
          <wp:inline distT="0" distB="0" distL="0" distR="0">
            <wp:extent cx="5562600" cy="2371725"/>
            <wp:effectExtent l="19050" t="0" r="19050" b="0"/>
            <wp:docPr id="421" name="图表 4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pStyle w:val="107"/>
        <w:spacing w:before="156" w:after="312"/>
      </w:pPr>
      <w:r>
        <w:rPr>
          <w:rFonts w:hint="eastAsia"/>
        </w:rPr>
        <w:t>不同专业硕士生对待本专业的态度</w:t>
      </w:r>
    </w:p>
    <w:p>
      <w:pPr>
        <w:jc w:val="center"/>
      </w:pPr>
      <w:r>
        <w:rPr>
          <w:rFonts w:hint="eastAsia"/>
        </w:rPr>
        <w:drawing>
          <wp:inline distT="0" distB="0" distL="0" distR="0">
            <wp:extent cx="5562600" cy="2371725"/>
            <wp:effectExtent l="19050" t="0" r="19050" b="0"/>
            <wp:docPr id="422" name="图表 4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pStyle w:val="107"/>
        <w:spacing w:before="156" w:after="312"/>
      </w:pPr>
      <w:r>
        <w:rPr>
          <w:rFonts w:hint="eastAsia"/>
        </w:rPr>
        <w:t>不同专业博士生对待本专业的态度</w:t>
      </w:r>
    </w:p>
    <w:p>
      <w:pPr>
        <w:pStyle w:val="70"/>
        <w:spacing w:before="156" w:after="156"/>
        <w:ind w:left="360"/>
      </w:pPr>
      <w:r>
        <w:rPr>
          <w:rFonts w:hint="eastAsia"/>
        </w:rPr>
        <w:t>（3）从事与</w:t>
      </w:r>
      <w:r>
        <w:t>本专业相关</w:t>
      </w:r>
      <w:r>
        <w:rPr>
          <w:rFonts w:hint="eastAsia"/>
        </w:rPr>
        <w:t>工作</w:t>
      </w:r>
      <w:r>
        <w:t>的</w:t>
      </w:r>
      <w:r>
        <w:rPr>
          <w:rFonts w:hint="eastAsia"/>
        </w:rPr>
        <w:t>意愿</w:t>
      </w:r>
    </w:p>
    <w:p>
      <w:pPr>
        <w:pStyle w:val="123"/>
        <w:ind w:firstLine="480"/>
      </w:pPr>
      <w:bookmarkStart w:id="274" w:name="PO_331131"/>
      <w:bookmarkEnd w:id="274"/>
      <w:r>
        <w:rPr>
          <w:rFonts w:hint="eastAsia"/>
        </w:rPr>
        <w:t>对于从事本专业相关工作的意愿，92.22%的研究生表示“很愿意”或“愿意”从事本专业相关工作，同时，没有研究生表示不愿意从事与本专业相关工作。</w:t>
      </w:r>
    </w:p>
    <w:p>
      <w:pPr>
        <w:jc w:val="center"/>
      </w:pPr>
      <w:bookmarkStart w:id="275" w:name="PO_331132"/>
      <w:bookmarkEnd w:id="275"/>
      <w:r>
        <w:rPr>
          <w:rFonts w:hint="eastAsia"/>
        </w:rPr>
        <w:drawing>
          <wp:inline distT="0" distB="0" distL="0" distR="0">
            <wp:extent cx="5007610" cy="2286000"/>
            <wp:effectExtent l="0" t="0" r="2540" b="0"/>
            <wp:docPr id="9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pStyle w:val="107"/>
        <w:spacing w:before="156" w:after="312"/>
      </w:pPr>
      <w:r>
        <w:rPr>
          <w:rFonts w:hint="eastAsia"/>
        </w:rPr>
        <w:t>研究生从事与本专业相关工作的意愿</w:t>
      </w:r>
    </w:p>
    <w:p>
      <w:pPr>
        <w:pStyle w:val="123"/>
        <w:ind w:firstLine="482"/>
      </w:pPr>
      <w:r>
        <w:rPr>
          <w:rFonts w:hint="eastAsia"/>
          <w:b/>
        </w:rPr>
        <w:t>就专业而言</w:t>
      </w:r>
      <w:r>
        <w:rPr>
          <w:rFonts w:hint="eastAsia"/>
        </w:rPr>
        <w:t>，</w:t>
      </w:r>
      <w:bookmarkStart w:id="276" w:name="PO_331134"/>
      <w:bookmarkEnd w:id="276"/>
      <w:r>
        <w:rPr>
          <w:rFonts w:hint="eastAsia"/>
        </w:rPr>
        <w:t>方差检验显示，不同专业的硕士生对从事本专业相关工作的意愿不存在显著差异（F=0.15，p&gt;0.05），不同专业的博士生对从事本专业相关工作的意愿不存在显著差异（F=0.09，p&gt;0.05）。</w:t>
      </w:r>
    </w:p>
    <w:p>
      <w:pPr>
        <w:pStyle w:val="41"/>
        <w:ind w:firstLine="0" w:firstLineChars="0"/>
      </w:pPr>
      <w:bookmarkStart w:id="277" w:name="PO_331135"/>
      <w:bookmarkEnd w:id="277"/>
    </w:p>
    <w:p>
      <w:pPr>
        <w:jc w:val="center"/>
      </w:pPr>
      <w:bookmarkStart w:id="278" w:name="PO_331136"/>
      <w:bookmarkEnd w:id="278"/>
      <w:r>
        <w:rPr>
          <w:rFonts w:hint="eastAsia"/>
        </w:rPr>
        <w:drawing>
          <wp:inline distT="0" distB="0" distL="0" distR="0">
            <wp:extent cx="5562600" cy="2371725"/>
            <wp:effectExtent l="19050" t="0" r="19050" b="0"/>
            <wp:docPr id="43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pStyle w:val="107"/>
        <w:spacing w:before="156" w:after="312"/>
      </w:pPr>
      <w:r>
        <w:rPr>
          <w:rFonts w:hint="eastAsia"/>
        </w:rPr>
        <w:t>不同专业硕士生从事与本专业相关工作的意愿</w:t>
      </w:r>
    </w:p>
    <w:p>
      <w:pPr>
        <w:jc w:val="center"/>
      </w:pPr>
      <w:r>
        <w:rPr>
          <w:rFonts w:hint="eastAsia"/>
        </w:rPr>
        <w:drawing>
          <wp:inline distT="0" distB="0" distL="0" distR="0">
            <wp:extent cx="5562600" cy="2371725"/>
            <wp:effectExtent l="19050" t="0" r="19050" b="0"/>
            <wp:docPr id="43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pStyle w:val="107"/>
        <w:spacing w:before="156" w:after="312"/>
      </w:pPr>
      <w:r>
        <w:rPr>
          <w:rFonts w:hint="eastAsia"/>
        </w:rPr>
        <w:t>不同专业博士生从事与本专业相关工作的意愿</w:t>
      </w:r>
    </w:p>
    <w:p>
      <w:pPr>
        <w:pStyle w:val="67"/>
        <w:spacing w:before="156" w:after="156"/>
        <w:ind w:left="240"/>
      </w:pPr>
      <w:bookmarkStart w:id="279" w:name="_Toc486857512"/>
      <w:r>
        <w:rPr>
          <w:rFonts w:hint="eastAsia"/>
        </w:rPr>
        <w:t>2.专业培养情况</w:t>
      </w:r>
      <w:bookmarkEnd w:id="279"/>
    </w:p>
    <w:p>
      <w:pPr>
        <w:pStyle w:val="70"/>
        <w:spacing w:before="156" w:after="156"/>
        <w:ind w:left="360"/>
      </w:pPr>
      <w:r>
        <w:rPr>
          <w:rFonts w:hint="eastAsia"/>
        </w:rPr>
        <w:t>（1）对本专业课程</w:t>
      </w:r>
      <w:r>
        <w:t>设置</w:t>
      </w:r>
      <w:r>
        <w:rPr>
          <w:rFonts w:hint="eastAsia"/>
        </w:rPr>
        <w:t>的</w:t>
      </w:r>
      <w:r>
        <w:t>评价</w:t>
      </w:r>
    </w:p>
    <w:p>
      <w:pPr>
        <w:pStyle w:val="123"/>
        <w:ind w:firstLine="480"/>
      </w:pPr>
      <w:bookmarkStart w:id="280" w:name="PO_331211"/>
      <w:bookmarkEnd w:id="280"/>
      <w:r>
        <w:rPr>
          <w:rFonts w:hint="eastAsia"/>
        </w:rPr>
        <w:t>对于本专业课程设置的满意程度，表示“很满意”或“满意”的研究生占85.55%，表示“不满意”的占4.44%。</w:t>
      </w:r>
    </w:p>
    <w:p>
      <w:pPr>
        <w:jc w:val="center"/>
      </w:pPr>
      <w:bookmarkStart w:id="281" w:name="PO_331212"/>
      <w:bookmarkEnd w:id="281"/>
    </w:p>
    <w:p>
      <w:pPr>
        <w:jc w:val="center"/>
      </w:pPr>
    </w:p>
    <w:p>
      <w:pPr>
        <w:jc w:val="center"/>
      </w:pPr>
      <w:r>
        <w:rPr>
          <w:rFonts w:hint="eastAsia"/>
        </w:rPr>
        <w:drawing>
          <wp:inline distT="0" distB="0" distL="0" distR="0">
            <wp:extent cx="5007610" cy="2286000"/>
            <wp:effectExtent l="0" t="0" r="2540" b="0"/>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pStyle w:val="107"/>
        <w:spacing w:before="156" w:after="312"/>
      </w:pPr>
      <w:r>
        <w:rPr>
          <w:rFonts w:hint="eastAsia"/>
        </w:rPr>
        <w:t>研究生对本专业课程设置的评价</w:t>
      </w:r>
    </w:p>
    <w:p>
      <w:pPr>
        <w:pStyle w:val="123"/>
        <w:ind w:firstLine="482"/>
      </w:pPr>
      <w:r>
        <w:rPr>
          <w:rFonts w:hint="eastAsia"/>
          <w:b/>
        </w:rPr>
        <w:t>就专业而言</w:t>
      </w:r>
      <w:r>
        <w:rPr>
          <w:rFonts w:hint="eastAsia"/>
        </w:rPr>
        <w:t>，</w:t>
      </w:r>
      <w:bookmarkStart w:id="282" w:name="PO_331214"/>
      <w:bookmarkEnd w:id="282"/>
      <w:r>
        <w:rPr>
          <w:rFonts w:hint="eastAsia"/>
        </w:rPr>
        <w:t>方差检验</w:t>
      </w:r>
      <w:r>
        <w:t>显示</w:t>
      </w:r>
      <w:r>
        <w:rPr>
          <w:rFonts w:hint="eastAsia"/>
        </w:rPr>
        <w:t>，不同专业的硕士生对本专业课程设置的评价不存在显著差异（F=1.79，p&gt;0.05）；不同专业的博士生对本专业课程设置的评价不存在显著差异（F=0.03，p&gt;0.05）。</w:t>
      </w:r>
    </w:p>
    <w:p>
      <w:pPr>
        <w:pStyle w:val="123"/>
        <w:ind w:firstLine="480"/>
      </w:pPr>
    </w:p>
    <w:p>
      <w:pPr>
        <w:jc w:val="center"/>
      </w:pPr>
      <w:bookmarkStart w:id="283" w:name="PO_331216"/>
      <w:bookmarkEnd w:id="283"/>
      <w:bookmarkStart w:id="284" w:name="_Hlk492027171"/>
      <w:r>
        <w:rPr>
          <w:rFonts w:hint="eastAsia"/>
        </w:rPr>
        <w:drawing>
          <wp:inline distT="0" distB="0" distL="0" distR="0">
            <wp:extent cx="5562600" cy="2371725"/>
            <wp:effectExtent l="19050" t="0" r="19050" b="0"/>
            <wp:docPr id="43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pStyle w:val="107"/>
        <w:spacing w:before="156" w:after="312"/>
      </w:pPr>
      <w:r>
        <w:rPr>
          <w:rFonts w:hint="eastAsia"/>
        </w:rPr>
        <w:t>不同专业硕士生对本专业课程设置的评价</w:t>
      </w:r>
    </w:p>
    <w:bookmarkEnd w:id="284"/>
    <w:p>
      <w:pPr>
        <w:jc w:val="center"/>
      </w:pPr>
      <w:r>
        <w:rPr>
          <w:rFonts w:hint="eastAsia"/>
        </w:rPr>
        <w:drawing>
          <wp:inline distT="0" distB="0" distL="0" distR="0">
            <wp:extent cx="5562600" cy="2371725"/>
            <wp:effectExtent l="19050" t="0" r="19050" b="0"/>
            <wp:docPr id="43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pPr>
        <w:pStyle w:val="107"/>
        <w:spacing w:before="156" w:after="312"/>
      </w:pPr>
      <w:r>
        <w:rPr>
          <w:rFonts w:hint="eastAsia"/>
        </w:rPr>
        <w:t>不同专业博士生对本专业课程设置的评价</w:t>
      </w:r>
    </w:p>
    <w:p>
      <w:pPr>
        <w:pStyle w:val="70"/>
        <w:spacing w:before="156" w:after="156"/>
        <w:ind w:left="360"/>
      </w:pPr>
      <w:r>
        <w:rPr>
          <w:rFonts w:hint="eastAsia"/>
        </w:rPr>
        <w:t>（2）对本</w:t>
      </w:r>
      <w:r>
        <w:t>专业教师授课水平</w:t>
      </w:r>
      <w:r>
        <w:rPr>
          <w:rFonts w:hint="eastAsia"/>
        </w:rPr>
        <w:t>的</w:t>
      </w:r>
      <w:r>
        <w:t>评价</w:t>
      </w:r>
    </w:p>
    <w:p>
      <w:pPr>
        <w:pStyle w:val="123"/>
        <w:ind w:firstLine="480"/>
      </w:pPr>
      <w:bookmarkStart w:id="285" w:name="PO_331221"/>
      <w:bookmarkEnd w:id="285"/>
      <w:r>
        <w:rPr>
          <w:rFonts w:hint="eastAsia"/>
        </w:rPr>
        <w:t>对于专业教师授课水平的评价，93.33%的研究生表示“很满意”或“满意”，2.22%的研究生则表示“不满意”。</w:t>
      </w:r>
    </w:p>
    <w:p>
      <w:pPr>
        <w:pStyle w:val="123"/>
        <w:ind w:firstLine="480"/>
        <w:jc w:val="center"/>
      </w:pPr>
      <w:r>
        <w:rPr>
          <w:rFonts w:hint="eastAsia"/>
        </w:rPr>
        <w:drawing>
          <wp:inline distT="0" distB="0" distL="0" distR="0">
            <wp:extent cx="5007610" cy="2286000"/>
            <wp:effectExtent l="0" t="0" r="2540" b="0"/>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pPr>
        <w:pStyle w:val="107"/>
        <w:spacing w:before="156" w:after="312"/>
      </w:pPr>
      <w:bookmarkStart w:id="286" w:name="PO_331222"/>
      <w:bookmarkEnd w:id="286"/>
      <w:r>
        <w:rPr>
          <w:rFonts w:hint="eastAsia"/>
        </w:rPr>
        <w:t>研究生对本专业教师授课水平的评价</w:t>
      </w:r>
    </w:p>
    <w:p>
      <w:pPr>
        <w:pStyle w:val="123"/>
        <w:ind w:firstLine="482"/>
      </w:pPr>
      <w:r>
        <w:rPr>
          <w:rFonts w:hint="eastAsia"/>
          <w:b/>
        </w:rPr>
        <w:t>就专业而言</w:t>
      </w:r>
      <w:r>
        <w:rPr>
          <w:rFonts w:hint="eastAsia"/>
        </w:rPr>
        <w:t>，</w:t>
      </w:r>
      <w:bookmarkStart w:id="287" w:name="PO_331224"/>
      <w:bookmarkEnd w:id="287"/>
      <w:r>
        <w:rPr>
          <w:rFonts w:hint="eastAsia"/>
        </w:rPr>
        <w:t>方差检验显示，不同专业的硕士生对本专业教师授课水平的评价存在显著差异（F=5.23，p&lt;0.01）。其中，艺术学理论专业的毕业生对本专业教师授课水平的评价最高，戏剧与影视学专业次之，戏剧专业最低。不同专业的博士生对本专业教师授课水平的评价不存在显著差异（F=0.60，p&gt;0.05）。</w:t>
      </w:r>
    </w:p>
    <w:p>
      <w:pPr>
        <w:pStyle w:val="123"/>
        <w:ind w:firstLine="480"/>
      </w:pPr>
    </w:p>
    <w:p>
      <w:pPr>
        <w:pStyle w:val="123"/>
        <w:ind w:firstLine="480"/>
      </w:pPr>
    </w:p>
    <w:p>
      <w:pPr>
        <w:pStyle w:val="123"/>
        <w:ind w:firstLine="480"/>
      </w:pPr>
    </w:p>
    <w:p>
      <w:pPr>
        <w:jc w:val="center"/>
      </w:pPr>
    </w:p>
    <w:p>
      <w:pPr>
        <w:pStyle w:val="41"/>
        <w:ind w:firstLine="480"/>
      </w:pPr>
      <w:bookmarkStart w:id="288" w:name="PO_331225"/>
      <w:bookmarkEnd w:id="288"/>
    </w:p>
    <w:p>
      <w:pPr>
        <w:jc w:val="center"/>
      </w:pPr>
      <w:bookmarkStart w:id="289" w:name="PO_331226"/>
      <w:bookmarkEnd w:id="289"/>
      <w:r>
        <w:rPr>
          <w:rFonts w:hint="eastAsia"/>
        </w:rPr>
        <w:drawing>
          <wp:inline distT="0" distB="0" distL="0" distR="0">
            <wp:extent cx="5562600" cy="2371725"/>
            <wp:effectExtent l="19050" t="0" r="19050" b="0"/>
            <wp:docPr id="44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pPr>
        <w:pStyle w:val="107"/>
        <w:spacing w:before="156" w:after="312"/>
      </w:pPr>
      <w:r>
        <w:rPr>
          <w:rFonts w:hint="eastAsia"/>
        </w:rPr>
        <w:t>不同专业硕士生对本专业教师授课水平的评价</w:t>
      </w:r>
    </w:p>
    <w:p>
      <w:pPr>
        <w:jc w:val="center"/>
      </w:pPr>
      <w:r>
        <w:rPr>
          <w:rFonts w:hint="eastAsia"/>
        </w:rPr>
        <w:drawing>
          <wp:inline distT="0" distB="0" distL="0" distR="0">
            <wp:extent cx="5562600" cy="2371725"/>
            <wp:effectExtent l="19050" t="0" r="19050" b="0"/>
            <wp:docPr id="44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pPr>
        <w:pStyle w:val="107"/>
        <w:spacing w:before="156" w:after="312"/>
      </w:pPr>
      <w:r>
        <w:rPr>
          <w:rFonts w:hint="eastAsia"/>
        </w:rPr>
        <w:t>不同专业博士生对本专业教师授课水平的评价</w:t>
      </w:r>
    </w:p>
    <w:p>
      <w:pPr>
        <w:pStyle w:val="41"/>
        <w:ind w:firstLine="480"/>
      </w:pPr>
    </w:p>
    <w:p>
      <w:pPr>
        <w:pStyle w:val="70"/>
        <w:spacing w:before="156" w:after="156"/>
        <w:ind w:left="360"/>
      </w:pPr>
      <w:r>
        <w:rPr>
          <w:rFonts w:hint="eastAsia"/>
        </w:rPr>
        <w:t>（3）所学</w:t>
      </w:r>
      <w:r>
        <w:t>专业知识</w:t>
      </w:r>
      <w:r>
        <w:rPr>
          <w:rFonts w:hint="eastAsia"/>
        </w:rPr>
        <w:t>和</w:t>
      </w:r>
      <w:r>
        <w:t>技能</w:t>
      </w:r>
      <w:r>
        <w:rPr>
          <w:rFonts w:hint="eastAsia"/>
        </w:rPr>
        <w:t>满足工作</w:t>
      </w:r>
      <w:r>
        <w:t>需要</w:t>
      </w:r>
      <w:r>
        <w:rPr>
          <w:rFonts w:hint="eastAsia"/>
        </w:rPr>
        <w:t>的</w:t>
      </w:r>
      <w:r>
        <w:t>情况</w:t>
      </w:r>
    </w:p>
    <w:p>
      <w:pPr>
        <w:pStyle w:val="123"/>
        <w:ind w:firstLine="480"/>
      </w:pPr>
      <w:bookmarkStart w:id="290" w:name="PO_331231"/>
      <w:bookmarkEnd w:id="290"/>
      <w:r>
        <w:rPr>
          <w:rFonts w:hint="eastAsia"/>
        </w:rPr>
        <w:t>对于所学专业知识和技能满足工作需要的情况，分别有86.67%和85.55%的研究生认为所学专业知识和专业技能足够满足工作需要（“很多”或“多”）；而3.33%和2.22%的研究生认为以上两个方面满足工作需要尚不足（“少”或“很少”）。</w:t>
      </w:r>
    </w:p>
    <w:p>
      <w:pPr>
        <w:jc w:val="center"/>
      </w:pPr>
      <w:bookmarkStart w:id="291" w:name="PO_331232"/>
      <w:bookmarkEnd w:id="291"/>
      <w:r>
        <w:rPr>
          <w:rFonts w:hint="eastAsia"/>
        </w:rPr>
        <w:drawing>
          <wp:inline distT="0" distB="0" distL="0" distR="0">
            <wp:extent cx="5274310" cy="3076575"/>
            <wp:effectExtent l="19050" t="0" r="21590" b="9419"/>
            <wp:docPr id="325" name="图表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pPr>
        <w:pStyle w:val="107"/>
        <w:spacing w:before="156" w:after="312"/>
      </w:pPr>
      <w:r>
        <w:rPr>
          <w:rFonts w:hint="eastAsia"/>
        </w:rPr>
        <w:t>研究生所学专业知识和技能满足工作需要的程度</w:t>
      </w:r>
    </w:p>
    <w:p>
      <w:pPr>
        <w:pStyle w:val="123"/>
        <w:ind w:firstLine="482"/>
      </w:pPr>
      <w:r>
        <w:rPr>
          <w:rFonts w:hint="eastAsia"/>
          <w:b/>
        </w:rPr>
        <w:t>就专业而言</w:t>
      </w:r>
      <w:bookmarkStart w:id="292" w:name="PO_331234"/>
      <w:bookmarkEnd w:id="292"/>
      <w:r>
        <w:rPr>
          <w:rFonts w:hint="eastAsia"/>
        </w:rPr>
        <w:t>，方差检验显示，不同专业的硕士生对所学专业知识满足工作需要的程度不存在显著差异（F=2.17，p&gt;0.05），对专业技能满足工作需要的程度存在差异（F=3.19，p&lt;0.05）。其中，艺术学理论专业的毕业生认为专业技能满足工作需要程度最高，戏剧与影视学专业次之，戏剧专业最低。不同专业的博士生对所学专业知识（F=0.17，p&gt;0.05）和专业技能（F=1.20，p&gt;0.05）满足工作需要的程度不存在显著差异。</w:t>
      </w:r>
    </w:p>
    <w:p>
      <w:pPr>
        <w:pStyle w:val="41"/>
        <w:ind w:firstLine="480"/>
      </w:pPr>
      <w:bookmarkStart w:id="293" w:name="PO_331235"/>
      <w:bookmarkEnd w:id="293"/>
    </w:p>
    <w:p>
      <w:pPr>
        <w:jc w:val="center"/>
      </w:pPr>
      <w:bookmarkStart w:id="294" w:name="PO_331236"/>
      <w:bookmarkEnd w:id="294"/>
      <w:r>
        <w:drawing>
          <wp:inline distT="0" distB="0" distL="0" distR="0">
            <wp:extent cx="5274310" cy="3038475"/>
            <wp:effectExtent l="0" t="0" r="0" b="0"/>
            <wp:docPr id="446" name="图表 4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pPr>
        <w:pStyle w:val="107"/>
        <w:spacing w:before="156" w:after="312"/>
      </w:pPr>
      <w:r>
        <w:rPr>
          <w:rFonts w:hint="eastAsia"/>
        </w:rPr>
        <w:t>不同专业硕士生所学专业知识和技能满足工作需要的程度</w:t>
      </w:r>
    </w:p>
    <w:p>
      <w:pPr>
        <w:jc w:val="center"/>
      </w:pPr>
      <w:r>
        <w:drawing>
          <wp:inline distT="0" distB="0" distL="0" distR="0">
            <wp:extent cx="5274310" cy="3038475"/>
            <wp:effectExtent l="0" t="0" r="0" b="0"/>
            <wp:docPr id="447" name="图表 4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pPr>
        <w:pStyle w:val="107"/>
        <w:spacing w:before="156" w:after="312"/>
      </w:pPr>
      <w:r>
        <w:rPr>
          <w:rFonts w:hint="eastAsia"/>
        </w:rPr>
        <w:t>不同专业博士生所学专业知识和技能满足工作需要的程度</w:t>
      </w:r>
    </w:p>
    <w:p>
      <w:pPr>
        <w:pStyle w:val="41"/>
        <w:ind w:firstLine="480"/>
      </w:pPr>
    </w:p>
    <w:p>
      <w:pPr>
        <w:pStyle w:val="70"/>
        <w:spacing w:before="156" w:after="156"/>
        <w:ind w:left="360"/>
      </w:pPr>
      <w:r>
        <w:rPr>
          <w:rFonts w:hint="eastAsia"/>
        </w:rPr>
        <w:t>（</w:t>
      </w:r>
      <w:r>
        <w:t>4</w:t>
      </w:r>
      <w:r>
        <w:rPr>
          <w:rFonts w:hint="eastAsia"/>
        </w:rPr>
        <w:t>）对所学</w:t>
      </w:r>
      <w:r>
        <w:t>专业的社会需求程度的评价</w:t>
      </w:r>
    </w:p>
    <w:p>
      <w:pPr>
        <w:pStyle w:val="123"/>
        <w:ind w:firstLine="480"/>
      </w:pPr>
      <w:bookmarkStart w:id="295" w:name="PO_331241"/>
      <w:bookmarkEnd w:id="295"/>
      <w:r>
        <w:rPr>
          <w:rFonts w:hint="eastAsia"/>
        </w:rPr>
        <w:t>对于所学专业的社会需求程度评价，认为本专业社会需求“很高”或“高”的研究生占61.11%，认为需求“低”的研究生占11.11%。</w:t>
      </w:r>
    </w:p>
    <w:p>
      <w:pPr>
        <w:jc w:val="center"/>
      </w:pPr>
      <w:bookmarkStart w:id="296" w:name="PO_331242"/>
      <w:bookmarkEnd w:id="296"/>
      <w:r>
        <w:rPr>
          <w:rFonts w:hint="eastAsia"/>
        </w:rPr>
        <w:drawing>
          <wp:inline distT="0" distB="0" distL="0" distR="0">
            <wp:extent cx="5007610" cy="2286000"/>
            <wp:effectExtent l="0" t="0" r="2540" b="0"/>
            <wp:docPr id="1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pPr>
        <w:pStyle w:val="107"/>
        <w:spacing w:before="156" w:after="312"/>
      </w:pPr>
      <w:r>
        <w:rPr>
          <w:rFonts w:hint="eastAsia"/>
        </w:rPr>
        <w:t>研究生对所学专业的社会需求程度的评价</w:t>
      </w:r>
    </w:p>
    <w:p>
      <w:pPr>
        <w:pStyle w:val="123"/>
        <w:ind w:firstLine="482"/>
      </w:pPr>
      <w:r>
        <w:rPr>
          <w:rFonts w:hint="eastAsia"/>
          <w:b/>
        </w:rPr>
        <w:t>就专业而言</w:t>
      </w:r>
      <w:r>
        <w:rPr>
          <w:rFonts w:hint="eastAsia"/>
        </w:rPr>
        <w:t>，</w:t>
      </w:r>
      <w:bookmarkStart w:id="297" w:name="PO_331244"/>
      <w:bookmarkEnd w:id="297"/>
      <w:r>
        <w:rPr>
          <w:rFonts w:hint="eastAsia"/>
        </w:rPr>
        <w:t>方差检验显示，不同专业的硕士生对所学专业的社会需求程度的评价不存在显著差异（F=0.57，p&gt;0.05）。不同专业的博士生对所学专业的社会需求程度的评价不存在显著差异（F=0.48，p&gt;0.05）。</w:t>
      </w:r>
    </w:p>
    <w:p>
      <w:pPr>
        <w:pStyle w:val="41"/>
        <w:ind w:firstLine="480"/>
      </w:pPr>
      <w:bookmarkStart w:id="298" w:name="PO_331245"/>
      <w:bookmarkEnd w:id="298"/>
    </w:p>
    <w:p>
      <w:pPr>
        <w:jc w:val="center"/>
      </w:pPr>
      <w:bookmarkStart w:id="299" w:name="PO_331246"/>
      <w:bookmarkEnd w:id="299"/>
      <w:r>
        <w:rPr>
          <w:rFonts w:hint="eastAsia"/>
        </w:rPr>
        <w:drawing>
          <wp:inline distT="0" distB="0" distL="0" distR="0">
            <wp:extent cx="5562600" cy="2371725"/>
            <wp:effectExtent l="19050" t="0" r="19050" b="0"/>
            <wp:docPr id="45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pPr>
        <w:pStyle w:val="107"/>
        <w:spacing w:before="156" w:after="312"/>
      </w:pPr>
      <w:r>
        <w:rPr>
          <w:rFonts w:hint="eastAsia"/>
        </w:rPr>
        <w:t>不同专业硕士生对所学专业的社会需求程度的评价</w:t>
      </w:r>
    </w:p>
    <w:p>
      <w:pPr>
        <w:jc w:val="center"/>
      </w:pPr>
      <w:r>
        <w:rPr>
          <w:rFonts w:hint="eastAsia"/>
        </w:rPr>
        <w:drawing>
          <wp:inline distT="0" distB="0" distL="0" distR="0">
            <wp:extent cx="5562600" cy="2371725"/>
            <wp:effectExtent l="19050" t="0" r="19050" b="0"/>
            <wp:docPr id="45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pPr>
        <w:pStyle w:val="107"/>
        <w:spacing w:before="156" w:after="312"/>
      </w:pPr>
      <w:r>
        <w:rPr>
          <w:rFonts w:hint="eastAsia"/>
        </w:rPr>
        <w:t>不同专业博士生对所学专业的社会需求程度的评价</w:t>
      </w:r>
    </w:p>
    <w:p>
      <w:pPr>
        <w:pStyle w:val="41"/>
        <w:ind w:firstLine="480"/>
      </w:pPr>
    </w:p>
    <w:p>
      <w:pPr>
        <w:pStyle w:val="70"/>
        <w:spacing w:before="156" w:after="156"/>
        <w:ind w:left="360"/>
      </w:pPr>
      <w:r>
        <w:rPr>
          <w:rFonts w:hint="eastAsia"/>
        </w:rPr>
        <w:t>（</w:t>
      </w:r>
      <w:r>
        <w:t>5</w:t>
      </w:r>
      <w:r>
        <w:rPr>
          <w:rFonts w:hint="eastAsia"/>
        </w:rPr>
        <w:t>）能力训练对实际工作的满足度</w:t>
      </w:r>
    </w:p>
    <w:p>
      <w:pPr>
        <w:pStyle w:val="123"/>
        <w:ind w:firstLine="480"/>
      </w:pPr>
      <w:bookmarkStart w:id="300" w:name="PO_331251"/>
      <w:bookmarkEnd w:id="300"/>
      <w:r>
        <w:rPr>
          <w:rFonts w:hint="eastAsia"/>
        </w:rPr>
        <w:t>对在校期间接收的各项能力训练是否满足实际工作的需求进行评价，研究生对此的评分均超过4分。具体来看，满足度较高的三项能力为：专业性知识与技能、学习能力、通识性知识与技能；满足度较低的三项能力为：职业规划能力、职业适应能力、创新能力。</w:t>
      </w:r>
    </w:p>
    <w:p>
      <w:pPr>
        <w:pStyle w:val="123"/>
        <w:ind w:firstLine="480"/>
      </w:pPr>
    </w:p>
    <w:p>
      <w:pPr>
        <w:jc w:val="center"/>
      </w:pPr>
      <w:bookmarkStart w:id="301" w:name="PO_331252"/>
      <w:bookmarkEnd w:id="301"/>
      <w:r>
        <w:rPr>
          <w:rFonts w:hint="eastAsia"/>
        </w:rPr>
        <w:drawing>
          <wp:inline distT="0" distB="0" distL="0" distR="0">
            <wp:extent cx="5274310" cy="3076575"/>
            <wp:effectExtent l="19050" t="0" r="21590" b="9419"/>
            <wp:docPr id="331"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pPr>
        <w:pStyle w:val="107"/>
        <w:spacing w:before="156" w:after="312"/>
      </w:pPr>
      <w:r>
        <w:rPr>
          <w:rFonts w:hint="eastAsia"/>
        </w:rPr>
        <w:t>研究生能力训练对实际工作的满足度</w:t>
      </w:r>
    </w:p>
    <w:p>
      <w:pPr>
        <w:jc w:val="center"/>
      </w:pPr>
    </w:p>
    <w:p>
      <w:pPr>
        <w:pStyle w:val="67"/>
        <w:spacing w:before="156" w:after="156"/>
        <w:ind w:left="240"/>
      </w:pPr>
      <w:bookmarkStart w:id="302" w:name="_Toc486857513"/>
      <w:r>
        <w:rPr>
          <w:rFonts w:hint="eastAsia"/>
        </w:rPr>
        <w:t>3.研究生培养质量评价</w:t>
      </w:r>
      <w:bookmarkEnd w:id="302"/>
    </w:p>
    <w:p>
      <w:pPr>
        <w:topLinePunct/>
        <w:spacing w:line="360" w:lineRule="auto"/>
        <w:ind w:firstLine="482" w:firstLineChars="200"/>
        <w:rPr>
          <w:rFonts w:ascii="Times New Roman" w:hAnsi="Times New Roman" w:eastAsia="宋体"/>
          <w:color w:val="FF0000"/>
          <w:szCs w:val="24"/>
        </w:rPr>
      </w:pPr>
      <w:r>
        <w:rPr>
          <w:rFonts w:hint="eastAsia" w:ascii="Times New Roman" w:hAnsi="Times New Roman" w:eastAsia="宋体"/>
          <w:b/>
          <w:szCs w:val="24"/>
        </w:rPr>
        <w:t>研究生培养质量评价</w:t>
      </w:r>
      <w:r>
        <w:rPr>
          <w:rFonts w:ascii="Times New Roman" w:hAnsi="Times New Roman" w:eastAsia="宋体"/>
          <w:szCs w:val="24"/>
        </w:rPr>
        <w:t>：</w:t>
      </w:r>
      <w:r>
        <w:rPr>
          <w:rFonts w:hint="eastAsia" w:ascii="Times New Roman" w:hAnsi="Times New Roman" w:eastAsia="宋体"/>
          <w:szCs w:val="24"/>
        </w:rPr>
        <w:t>这</w:t>
      </w:r>
      <w:r>
        <w:rPr>
          <w:rFonts w:ascii="Times New Roman" w:hAnsi="Times New Roman" w:eastAsia="宋体"/>
          <w:szCs w:val="24"/>
        </w:rPr>
        <w:t>是主观判断指标，专门针对研究生设置的</w:t>
      </w:r>
      <w:r>
        <w:rPr>
          <w:rFonts w:hint="eastAsia" w:ascii="Times New Roman" w:hAnsi="Times New Roman" w:eastAsia="宋体"/>
          <w:szCs w:val="24"/>
        </w:rPr>
        <w:t>，反映</w:t>
      </w:r>
      <w:r>
        <w:rPr>
          <w:rFonts w:ascii="Times New Roman" w:hAnsi="Times New Roman" w:eastAsia="宋体"/>
          <w:szCs w:val="24"/>
        </w:rPr>
        <w:t>了</w:t>
      </w:r>
      <w:r>
        <w:rPr>
          <w:rFonts w:hint="eastAsia" w:ascii="Times New Roman" w:hAnsi="Times New Roman" w:eastAsia="宋体"/>
          <w:szCs w:val="24"/>
        </w:rPr>
        <w:t>研究生</w:t>
      </w:r>
      <w:r>
        <w:rPr>
          <w:rFonts w:ascii="Times New Roman" w:hAnsi="Times New Roman" w:eastAsia="宋体"/>
          <w:szCs w:val="24"/>
        </w:rPr>
        <w:t>对</w:t>
      </w:r>
      <w:r>
        <w:rPr>
          <w:rFonts w:hint="eastAsia" w:ascii="Times New Roman" w:hAnsi="Times New Roman" w:eastAsia="宋体"/>
          <w:szCs w:val="24"/>
        </w:rPr>
        <w:t>在校期间</w:t>
      </w:r>
      <w:r>
        <w:rPr>
          <w:rFonts w:ascii="Times New Roman" w:hAnsi="Times New Roman" w:eastAsia="宋体"/>
          <w:szCs w:val="24"/>
        </w:rPr>
        <w:t>培养质量的满意程度评价</w:t>
      </w:r>
      <w:r>
        <w:rPr>
          <w:rFonts w:hint="eastAsia" w:ascii="Times New Roman" w:hAnsi="Times New Roman" w:eastAsia="宋体"/>
          <w:szCs w:val="24"/>
        </w:rPr>
        <w:t>，</w:t>
      </w:r>
      <w:r>
        <w:rPr>
          <w:rFonts w:ascii="Times New Roman" w:hAnsi="Times New Roman" w:eastAsia="宋体"/>
          <w:szCs w:val="24"/>
        </w:rPr>
        <w:t>主要</w:t>
      </w:r>
      <w:r>
        <w:rPr>
          <w:rFonts w:hint="eastAsia" w:ascii="Times New Roman" w:hAnsi="Times New Roman" w:eastAsia="宋体"/>
          <w:szCs w:val="24"/>
        </w:rPr>
        <w:t>包括培养</w:t>
      </w:r>
      <w:r>
        <w:rPr>
          <w:rFonts w:ascii="Times New Roman" w:hAnsi="Times New Roman" w:eastAsia="宋体"/>
          <w:szCs w:val="24"/>
        </w:rPr>
        <w:t>质量综合评价、</w:t>
      </w:r>
      <w:r>
        <w:rPr>
          <w:rFonts w:hint="eastAsia" w:ascii="Times New Roman" w:hAnsi="Times New Roman" w:eastAsia="宋体"/>
          <w:szCs w:val="24"/>
        </w:rPr>
        <w:t>对导师</w:t>
      </w:r>
      <w:r>
        <w:rPr>
          <w:rFonts w:ascii="Times New Roman" w:hAnsi="Times New Roman" w:eastAsia="宋体"/>
          <w:szCs w:val="24"/>
        </w:rPr>
        <w:t>的满意度、对</w:t>
      </w:r>
      <w:r>
        <w:rPr>
          <w:rFonts w:hint="eastAsia" w:ascii="Times New Roman" w:hAnsi="Times New Roman" w:eastAsia="宋体"/>
          <w:szCs w:val="24"/>
        </w:rPr>
        <w:t>学术</w:t>
      </w:r>
      <w:r>
        <w:rPr>
          <w:rFonts w:ascii="Times New Roman" w:hAnsi="Times New Roman" w:eastAsia="宋体"/>
          <w:szCs w:val="24"/>
        </w:rPr>
        <w:t>实践经历价值的评价</w:t>
      </w:r>
      <w:r>
        <w:rPr>
          <w:rFonts w:hint="eastAsia" w:ascii="Times New Roman" w:hAnsi="Times New Roman" w:eastAsia="宋体"/>
          <w:szCs w:val="24"/>
        </w:rPr>
        <w:t>以及</w:t>
      </w:r>
      <w:r>
        <w:rPr>
          <w:rFonts w:ascii="Times New Roman" w:hAnsi="Times New Roman" w:eastAsia="宋体"/>
          <w:szCs w:val="24"/>
        </w:rPr>
        <w:t>影响培养质量的因素方面的反馈。</w:t>
      </w:r>
    </w:p>
    <w:p>
      <w:pPr>
        <w:pStyle w:val="70"/>
        <w:spacing w:before="156" w:after="156"/>
        <w:ind w:left="360"/>
      </w:pPr>
      <w:r>
        <w:rPr>
          <w:rFonts w:hint="eastAsia"/>
        </w:rPr>
        <w:t>（1）研究生培养质量评价</w:t>
      </w:r>
    </w:p>
    <w:p>
      <w:pPr>
        <w:pStyle w:val="123"/>
        <w:ind w:firstLine="480"/>
      </w:pPr>
      <w:bookmarkStart w:id="303" w:name="PO_331711"/>
      <w:bookmarkEnd w:id="303"/>
      <w:r>
        <w:rPr>
          <w:rFonts w:hint="eastAsia"/>
        </w:rPr>
        <w:t>调查显示，表示对本校研究生培养质量“很满意”或“满意”的占81.11%，表示“不满意”的研究生占2.22%。</w:t>
      </w:r>
    </w:p>
    <w:p>
      <w:pPr>
        <w:jc w:val="center"/>
      </w:pPr>
      <w:bookmarkStart w:id="304" w:name="PO_331712"/>
      <w:bookmarkEnd w:id="304"/>
    </w:p>
    <w:p>
      <w:pPr>
        <w:jc w:val="center"/>
      </w:pPr>
      <w:r>
        <w:rPr>
          <w:rFonts w:hint="eastAsia"/>
        </w:rPr>
        <w:drawing>
          <wp:inline distT="0" distB="0" distL="0" distR="0">
            <wp:extent cx="5007610" cy="2286000"/>
            <wp:effectExtent l="0" t="0" r="2540" b="0"/>
            <wp:docPr id="1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pPr>
        <w:pStyle w:val="107"/>
        <w:spacing w:before="156" w:after="312"/>
      </w:pPr>
      <w:r>
        <w:rPr>
          <w:rFonts w:hint="eastAsia"/>
        </w:rPr>
        <w:t>研究生培养质量评价</w:t>
      </w:r>
    </w:p>
    <w:p>
      <w:pPr>
        <w:pStyle w:val="123"/>
        <w:ind w:firstLine="482"/>
      </w:pPr>
      <w:r>
        <w:rPr>
          <w:rFonts w:hint="eastAsia"/>
          <w:b/>
        </w:rPr>
        <w:t>就专业而言</w:t>
      </w:r>
      <w:r>
        <w:t>，</w:t>
      </w:r>
      <w:bookmarkStart w:id="305" w:name="PO_331714"/>
      <w:bookmarkEnd w:id="305"/>
      <w:r>
        <w:rPr>
          <w:rFonts w:hint="eastAsia"/>
        </w:rPr>
        <w:t>方差检验显示，不同专业的硕士生对培养质量的满意度不存在显著差异（F=1.39，p&gt;0.05）。不同专业的博士生对培养质量的满意度不存在显著差异（F=0.00，p&gt;0.05）。</w:t>
      </w:r>
    </w:p>
    <w:p>
      <w:pPr>
        <w:pStyle w:val="41"/>
        <w:ind w:firstLine="480"/>
      </w:pPr>
      <w:bookmarkStart w:id="306" w:name="PO_331715"/>
      <w:bookmarkEnd w:id="306"/>
    </w:p>
    <w:p>
      <w:pPr>
        <w:jc w:val="center"/>
      </w:pPr>
      <w:bookmarkStart w:id="307" w:name="PO_331716"/>
      <w:bookmarkEnd w:id="307"/>
      <w:r>
        <w:rPr>
          <w:rFonts w:hint="eastAsia"/>
        </w:rPr>
        <w:drawing>
          <wp:inline distT="0" distB="0" distL="0" distR="0">
            <wp:extent cx="5562600" cy="2371725"/>
            <wp:effectExtent l="19050" t="0" r="19050" b="0"/>
            <wp:docPr id="46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pPr>
        <w:pStyle w:val="107"/>
        <w:spacing w:before="156" w:after="312"/>
      </w:pPr>
      <w:r>
        <w:rPr>
          <w:rFonts w:hint="eastAsia"/>
        </w:rPr>
        <w:t>不同专业硕士生培养质量评价</w:t>
      </w:r>
    </w:p>
    <w:p>
      <w:pPr>
        <w:jc w:val="center"/>
      </w:pPr>
      <w:r>
        <w:rPr>
          <w:rFonts w:hint="eastAsia"/>
        </w:rPr>
        <w:drawing>
          <wp:inline distT="0" distB="0" distL="0" distR="0">
            <wp:extent cx="5562600" cy="2371725"/>
            <wp:effectExtent l="19050" t="0" r="19050" b="0"/>
            <wp:docPr id="46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pPr>
        <w:pStyle w:val="107"/>
        <w:spacing w:before="156" w:after="312"/>
      </w:pPr>
      <w:r>
        <w:rPr>
          <w:rFonts w:hint="eastAsia"/>
        </w:rPr>
        <w:t>不同专业博士生培养质量评价</w:t>
      </w:r>
    </w:p>
    <w:p>
      <w:pPr>
        <w:pStyle w:val="70"/>
        <w:spacing w:before="156" w:after="156"/>
        <w:ind w:left="360"/>
      </w:pPr>
      <w:r>
        <w:rPr>
          <w:rFonts w:hint="eastAsia"/>
        </w:rPr>
        <w:t>（2）对导师的满意度</w:t>
      </w:r>
    </w:p>
    <w:p>
      <w:pPr>
        <w:pStyle w:val="123"/>
        <w:ind w:firstLine="480"/>
      </w:pPr>
      <w:bookmarkStart w:id="308" w:name="PO_331721"/>
      <w:bookmarkEnd w:id="308"/>
      <w:r>
        <w:rPr>
          <w:rFonts w:hint="eastAsia"/>
        </w:rPr>
        <w:t>对于自己导师满意度评价，94.45%的研究生对自己导师表示“很满意”或“满意”，2.22%的研究生则表示“不满意”。</w:t>
      </w:r>
    </w:p>
    <w:p>
      <w:pPr>
        <w:jc w:val="center"/>
      </w:pPr>
      <w:bookmarkStart w:id="309" w:name="PO_331722"/>
      <w:bookmarkEnd w:id="309"/>
    </w:p>
    <w:p>
      <w:pPr>
        <w:jc w:val="center"/>
      </w:pPr>
      <w:r>
        <w:rPr>
          <w:rFonts w:hint="eastAsia"/>
        </w:rPr>
        <w:drawing>
          <wp:inline distT="0" distB="0" distL="0" distR="0">
            <wp:extent cx="5007610" cy="2286000"/>
            <wp:effectExtent l="0" t="0" r="2540" b="0"/>
            <wp:docPr id="1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pPr>
        <w:pStyle w:val="107"/>
        <w:spacing w:before="156" w:after="312"/>
      </w:pPr>
      <w:r>
        <w:rPr>
          <w:rFonts w:hint="eastAsia"/>
        </w:rPr>
        <w:t>研究生对导师的满意度</w:t>
      </w:r>
    </w:p>
    <w:p>
      <w:pPr>
        <w:pStyle w:val="123"/>
        <w:ind w:firstLine="482"/>
      </w:pPr>
      <w:r>
        <w:rPr>
          <w:rFonts w:hint="eastAsia"/>
          <w:b/>
        </w:rPr>
        <w:t>就专业</w:t>
      </w:r>
      <w:r>
        <w:rPr>
          <w:b/>
        </w:rPr>
        <w:t>而言</w:t>
      </w:r>
      <w:r>
        <w:t>，</w:t>
      </w:r>
      <w:bookmarkStart w:id="310" w:name="PO_331724"/>
      <w:bookmarkEnd w:id="310"/>
      <w:r>
        <w:rPr>
          <w:rFonts w:hint="eastAsia"/>
        </w:rPr>
        <w:t>方差检验显示，不同专业硕士生对自己导师的满意度不存在显著差异（F=1.45，p&gt;0.05）。不同专业博士生对自己导师的满意度不存在显著差异（F=0.09，p&gt;0.05）。</w:t>
      </w:r>
    </w:p>
    <w:p>
      <w:pPr>
        <w:pStyle w:val="123"/>
        <w:ind w:firstLine="480"/>
      </w:pPr>
    </w:p>
    <w:p>
      <w:pPr>
        <w:jc w:val="center"/>
      </w:pPr>
      <w:bookmarkStart w:id="311" w:name="PO_331725"/>
      <w:bookmarkEnd w:id="311"/>
      <w:r>
        <w:rPr>
          <w:rFonts w:hint="eastAsia"/>
        </w:rPr>
        <w:drawing>
          <wp:inline distT="0" distB="0" distL="0" distR="0">
            <wp:extent cx="5562600" cy="2371725"/>
            <wp:effectExtent l="19050" t="0" r="19050" b="0"/>
            <wp:docPr id="46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pPr>
        <w:pStyle w:val="107"/>
        <w:spacing w:before="156" w:after="312"/>
      </w:pPr>
      <w:r>
        <w:rPr>
          <w:rFonts w:hint="eastAsia"/>
        </w:rPr>
        <w:t>不同专业硕士生对导师的满意度</w:t>
      </w:r>
    </w:p>
    <w:p>
      <w:pPr>
        <w:jc w:val="center"/>
      </w:pPr>
      <w:r>
        <w:rPr>
          <w:rFonts w:hint="eastAsia"/>
        </w:rPr>
        <w:drawing>
          <wp:inline distT="0" distB="0" distL="0" distR="0">
            <wp:extent cx="5562600" cy="2371725"/>
            <wp:effectExtent l="19050" t="0" r="19050" b="0"/>
            <wp:docPr id="46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pPr>
        <w:pStyle w:val="107"/>
        <w:spacing w:before="156" w:after="312"/>
      </w:pPr>
      <w:r>
        <w:rPr>
          <w:rFonts w:hint="eastAsia"/>
        </w:rPr>
        <w:t>不同专业博士生对导师的满意度</w:t>
      </w:r>
    </w:p>
    <w:p>
      <w:pPr>
        <w:pStyle w:val="70"/>
        <w:spacing w:before="156" w:after="156"/>
        <w:ind w:left="360"/>
      </w:pPr>
      <w:r>
        <w:rPr>
          <w:rFonts w:hint="eastAsia"/>
        </w:rPr>
        <w:t>（3）学术实践经历</w:t>
      </w:r>
    </w:p>
    <w:p>
      <w:pPr>
        <w:pStyle w:val="123"/>
        <w:ind w:firstLine="480"/>
      </w:pPr>
      <w:bookmarkStart w:id="312" w:name="PO_331731"/>
      <w:bookmarkEnd w:id="312"/>
      <w:r>
        <w:rPr>
          <w:rFonts w:hint="eastAsia"/>
        </w:rPr>
        <w:t>调查研究生认为对自己学习成长有价值的学术实践经历，结果显示，对研究生学习成长最有价值的前三位依次为：公开发表学术论文等、参与国家或省部级科研课题、参加国内外学术会议并发布论文 。</w:t>
      </w:r>
    </w:p>
    <w:p>
      <w:pPr>
        <w:jc w:val="center"/>
      </w:pPr>
      <w:bookmarkStart w:id="313" w:name="PO_331732"/>
      <w:bookmarkEnd w:id="313"/>
      <w:r>
        <w:rPr>
          <w:rFonts w:hint="eastAsia"/>
        </w:rPr>
        <w:drawing>
          <wp:inline distT="0" distB="0" distL="0" distR="0">
            <wp:extent cx="5274310" cy="3076575"/>
            <wp:effectExtent l="19050" t="0" r="21590" b="9419"/>
            <wp:docPr id="342"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pPr>
        <w:pStyle w:val="107"/>
        <w:spacing w:before="156" w:after="312"/>
      </w:pPr>
      <w:r>
        <w:rPr>
          <w:rFonts w:hint="eastAsia"/>
        </w:rPr>
        <w:t>对学术实践经历的评价</w:t>
      </w:r>
    </w:p>
    <w:p>
      <w:pPr>
        <w:jc w:val="center"/>
      </w:pPr>
    </w:p>
    <w:p>
      <w:pPr>
        <w:pStyle w:val="55"/>
        <w:spacing w:before="312" w:after="156"/>
      </w:pPr>
      <w:bookmarkStart w:id="314" w:name="PO_331733"/>
      <w:bookmarkEnd w:id="314"/>
      <w:r>
        <w:rPr>
          <w:rFonts w:hint="eastAsia"/>
        </w:rPr>
        <w:t>对学术实践经历的评价</w:t>
      </w:r>
    </w:p>
    <w:tbl>
      <w:tblPr>
        <w:tblStyle w:val="157"/>
        <w:tblW w:w="9723" w:type="dxa"/>
        <w:jc w:val="center"/>
        <w:tblInd w:w="0"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3612"/>
        <w:gridCol w:w="642"/>
        <w:gridCol w:w="689"/>
        <w:gridCol w:w="567"/>
        <w:gridCol w:w="689"/>
        <w:gridCol w:w="567"/>
        <w:gridCol w:w="689"/>
        <w:gridCol w:w="708"/>
        <w:gridCol w:w="851"/>
        <w:gridCol w:w="709"/>
      </w:tblGrid>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5" w:hRule="atLeast"/>
          <w:jc w:val="center"/>
        </w:trPr>
        <w:tc>
          <w:tcPr>
            <w:tcW w:w="3612" w:type="dxa"/>
            <w:vMerge w:val="restart"/>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4BACC6" w:themeFill="accent5"/>
          </w:tcPr>
          <w:p>
            <w:pPr>
              <w:widowControl/>
              <w:rPr>
                <w:b w:val="0"/>
                <w:bCs w:val="0"/>
                <w:color w:val="FFFFFF"/>
                <w:kern w:val="0"/>
                <w:sz w:val="21"/>
                <w:szCs w:val="21"/>
              </w:rPr>
            </w:pPr>
          </w:p>
        </w:tc>
        <w:tc>
          <w:tcPr>
            <w:tcW w:w="1331" w:type="dxa"/>
            <w:gridSpan w:val="2"/>
            <w:tcBorders>
              <w:top w:val="single" w:color="4BACC6" w:themeColor="accent5" w:sz="4" w:space="0"/>
              <w:left w:val="single" w:color="92CDDC" w:themeColor="accent5" w:themeTint="99" w:sz="4" w:space="0"/>
              <w:bottom w:val="single" w:color="4BACC6" w:themeColor="accent5" w:sz="4" w:space="0"/>
              <w:right w:val="nil"/>
              <w:insideH w:val="single" w:sz="4" w:space="0"/>
              <w:insideV w:val="nil"/>
            </w:tcBorders>
            <w:shd w:val="clear" w:color="auto" w:fill="4BACC6" w:themeFill="accent5"/>
          </w:tcPr>
          <w:p>
            <w:pPr>
              <w:widowControl/>
              <w:jc w:val="center"/>
              <w:rPr>
                <w:b w:val="0"/>
                <w:bCs w:val="0"/>
                <w:color w:val="FFFFFF"/>
                <w:kern w:val="0"/>
                <w:sz w:val="21"/>
                <w:szCs w:val="21"/>
              </w:rPr>
            </w:pPr>
            <w:r>
              <w:rPr>
                <w:rFonts w:hint="eastAsia"/>
                <w:b w:val="0"/>
                <w:bCs w:val="0"/>
                <w:color w:val="FFFFFF"/>
                <w:kern w:val="0"/>
                <w:sz w:val="21"/>
                <w:szCs w:val="21"/>
              </w:rPr>
              <w:t>首选</w:t>
            </w:r>
          </w:p>
        </w:tc>
        <w:tc>
          <w:tcPr>
            <w:tcW w:w="1256" w:type="dxa"/>
            <w:gridSpan w:val="2"/>
            <w:tcBorders>
              <w:top w:val="single" w:color="4BACC6" w:themeColor="accent5" w:sz="4" w:space="0"/>
              <w:left w:val="single" w:color="92CDDC" w:themeColor="accent5" w:themeTint="99" w:sz="4" w:space="0"/>
              <w:bottom w:val="single" w:color="4BACC6" w:themeColor="accent5" w:sz="4" w:space="0"/>
              <w:right w:val="nil"/>
              <w:insideH w:val="single" w:sz="4" w:space="0"/>
              <w:insideV w:val="nil"/>
            </w:tcBorders>
            <w:shd w:val="clear" w:color="auto" w:fill="4BACC6" w:themeFill="accent5"/>
          </w:tcPr>
          <w:p>
            <w:pPr>
              <w:widowControl/>
              <w:jc w:val="center"/>
              <w:rPr>
                <w:b w:val="0"/>
                <w:bCs w:val="0"/>
                <w:color w:val="FFFFFF"/>
                <w:kern w:val="0"/>
                <w:sz w:val="21"/>
                <w:szCs w:val="21"/>
              </w:rPr>
            </w:pPr>
            <w:r>
              <w:rPr>
                <w:rFonts w:hint="eastAsia"/>
                <w:b w:val="0"/>
                <w:bCs w:val="0"/>
                <w:color w:val="FFFFFF"/>
                <w:kern w:val="0"/>
                <w:sz w:val="21"/>
                <w:szCs w:val="21"/>
              </w:rPr>
              <w:t>第二位</w:t>
            </w:r>
          </w:p>
        </w:tc>
        <w:tc>
          <w:tcPr>
            <w:tcW w:w="1256" w:type="dxa"/>
            <w:gridSpan w:val="2"/>
            <w:tcBorders>
              <w:top w:val="single" w:color="4BACC6" w:themeColor="accent5" w:sz="4" w:space="0"/>
              <w:left w:val="single" w:color="92CDDC" w:themeColor="accent5" w:themeTint="99" w:sz="4" w:space="0"/>
              <w:bottom w:val="single" w:color="4BACC6" w:themeColor="accent5" w:sz="4" w:space="0"/>
              <w:right w:val="nil"/>
              <w:insideH w:val="single" w:sz="4" w:space="0"/>
              <w:insideV w:val="nil"/>
            </w:tcBorders>
            <w:shd w:val="clear" w:color="auto" w:fill="4BACC6" w:themeFill="accent5"/>
          </w:tcPr>
          <w:p>
            <w:pPr>
              <w:widowControl/>
              <w:jc w:val="center"/>
              <w:rPr>
                <w:b w:val="0"/>
                <w:bCs w:val="0"/>
                <w:color w:val="FFFFFF"/>
                <w:kern w:val="0"/>
                <w:sz w:val="21"/>
                <w:szCs w:val="21"/>
              </w:rPr>
            </w:pPr>
            <w:r>
              <w:rPr>
                <w:rFonts w:hint="eastAsia"/>
                <w:b w:val="0"/>
                <w:bCs w:val="0"/>
                <w:color w:val="FFFFFF"/>
                <w:kern w:val="0"/>
                <w:sz w:val="21"/>
                <w:szCs w:val="21"/>
              </w:rPr>
              <w:t>第三位</w:t>
            </w:r>
          </w:p>
        </w:tc>
        <w:tc>
          <w:tcPr>
            <w:tcW w:w="2268" w:type="dxa"/>
            <w:gridSpan w:val="3"/>
            <w:tcBorders>
              <w:top w:val="single" w:color="4BACC6" w:themeColor="accent5" w:sz="4" w:space="0"/>
              <w:left w:val="single" w:color="92CDDC" w:themeColor="accent5" w:themeTint="99" w:sz="4" w:space="0"/>
              <w:bottom w:val="single" w:color="4BACC6" w:themeColor="accent5" w:sz="4" w:space="0"/>
              <w:right w:val="single" w:color="4BACC6" w:themeColor="accent5" w:sz="4" w:space="0"/>
              <w:insideH w:val="single" w:sz="4" w:space="0"/>
              <w:insideV w:val="nil"/>
            </w:tcBorders>
            <w:shd w:val="clear" w:color="auto" w:fill="4BACC6" w:themeFill="accent5"/>
          </w:tcPr>
          <w:p>
            <w:pPr>
              <w:widowControl/>
              <w:jc w:val="center"/>
              <w:rPr>
                <w:b w:val="0"/>
                <w:bCs w:val="0"/>
                <w:color w:val="FFFFFF"/>
                <w:kern w:val="0"/>
                <w:sz w:val="21"/>
                <w:szCs w:val="21"/>
              </w:rPr>
            </w:pPr>
            <w:r>
              <w:rPr>
                <w:rFonts w:hint="eastAsia"/>
                <w:b w:val="0"/>
                <w:bCs w:val="0"/>
                <w:color w:val="FFFFFF"/>
                <w:kern w:val="0"/>
                <w:sz w:val="21"/>
                <w:szCs w:val="21"/>
              </w:rPr>
              <w:t>加权总分</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5" w:hRule="atLeast"/>
          <w:jc w:val="center"/>
        </w:trPr>
        <w:tc>
          <w:tcPr>
            <w:tcW w:w="3612" w:type="dxa"/>
            <w:vMerge w:val="continue"/>
            <w:shd w:val="clear" w:color="auto" w:fill="4BACC6" w:themeFill="accent5"/>
          </w:tcPr>
          <w:p>
            <w:pPr>
              <w:widowControl/>
              <w:rPr>
                <w:b w:val="0"/>
                <w:bCs w:val="0"/>
                <w:color w:val="FFFFFF"/>
                <w:kern w:val="0"/>
                <w:sz w:val="21"/>
                <w:szCs w:val="21"/>
              </w:rPr>
            </w:pPr>
          </w:p>
        </w:tc>
        <w:tc>
          <w:tcPr>
            <w:tcW w:w="642" w:type="dxa"/>
            <w:shd w:val="clear" w:color="auto" w:fill="4BACC6" w:themeFill="accent5"/>
          </w:tcPr>
          <w:p>
            <w:pPr>
              <w:widowControl/>
              <w:jc w:val="center"/>
              <w:rPr>
                <w:color w:val="FFFFFF"/>
                <w:kern w:val="0"/>
                <w:sz w:val="21"/>
                <w:szCs w:val="21"/>
              </w:rPr>
            </w:pPr>
            <w:r>
              <w:rPr>
                <w:color w:val="FFFFFF"/>
                <w:kern w:val="0"/>
                <w:sz w:val="21"/>
                <w:szCs w:val="21"/>
              </w:rPr>
              <w:t>N</w:t>
            </w:r>
          </w:p>
        </w:tc>
        <w:tc>
          <w:tcPr>
            <w:tcW w:w="689" w:type="dxa"/>
            <w:shd w:val="clear" w:color="auto" w:fill="4BACC6" w:themeFill="accent5"/>
          </w:tcPr>
          <w:p>
            <w:pPr>
              <w:widowControl/>
              <w:jc w:val="center"/>
              <w:rPr>
                <w:color w:val="FFFFFF"/>
                <w:kern w:val="0"/>
                <w:sz w:val="21"/>
                <w:szCs w:val="21"/>
              </w:rPr>
            </w:pPr>
            <w:r>
              <w:rPr>
                <w:color w:val="FFFFFF"/>
                <w:kern w:val="0"/>
                <w:sz w:val="21"/>
                <w:szCs w:val="21"/>
              </w:rPr>
              <w:t>%</w:t>
            </w:r>
          </w:p>
        </w:tc>
        <w:tc>
          <w:tcPr>
            <w:tcW w:w="567" w:type="dxa"/>
            <w:shd w:val="clear" w:color="auto" w:fill="4BACC6" w:themeFill="accent5"/>
          </w:tcPr>
          <w:p>
            <w:pPr>
              <w:widowControl/>
              <w:jc w:val="center"/>
              <w:rPr>
                <w:color w:val="FFFFFF"/>
                <w:kern w:val="0"/>
                <w:sz w:val="21"/>
                <w:szCs w:val="21"/>
              </w:rPr>
            </w:pPr>
            <w:r>
              <w:rPr>
                <w:color w:val="FFFFFF"/>
                <w:kern w:val="0"/>
                <w:sz w:val="21"/>
                <w:szCs w:val="21"/>
              </w:rPr>
              <w:t>N</w:t>
            </w:r>
          </w:p>
        </w:tc>
        <w:tc>
          <w:tcPr>
            <w:tcW w:w="689" w:type="dxa"/>
            <w:shd w:val="clear" w:color="auto" w:fill="4BACC6" w:themeFill="accent5"/>
          </w:tcPr>
          <w:p>
            <w:pPr>
              <w:widowControl/>
              <w:jc w:val="center"/>
              <w:rPr>
                <w:color w:val="FFFFFF"/>
                <w:kern w:val="0"/>
                <w:sz w:val="21"/>
                <w:szCs w:val="21"/>
              </w:rPr>
            </w:pPr>
            <w:r>
              <w:rPr>
                <w:color w:val="FFFFFF"/>
                <w:kern w:val="0"/>
                <w:sz w:val="21"/>
                <w:szCs w:val="21"/>
              </w:rPr>
              <w:t>%</w:t>
            </w:r>
          </w:p>
        </w:tc>
        <w:tc>
          <w:tcPr>
            <w:tcW w:w="567" w:type="dxa"/>
            <w:shd w:val="clear" w:color="auto" w:fill="4BACC6" w:themeFill="accent5"/>
          </w:tcPr>
          <w:p>
            <w:pPr>
              <w:widowControl/>
              <w:jc w:val="center"/>
              <w:rPr>
                <w:color w:val="FFFFFF"/>
                <w:kern w:val="0"/>
                <w:sz w:val="21"/>
                <w:szCs w:val="21"/>
              </w:rPr>
            </w:pPr>
            <w:r>
              <w:rPr>
                <w:color w:val="FFFFFF"/>
                <w:kern w:val="0"/>
                <w:sz w:val="21"/>
                <w:szCs w:val="21"/>
              </w:rPr>
              <w:t>N</w:t>
            </w:r>
          </w:p>
        </w:tc>
        <w:tc>
          <w:tcPr>
            <w:tcW w:w="689" w:type="dxa"/>
            <w:shd w:val="clear" w:color="auto" w:fill="4BACC6" w:themeFill="accent5"/>
          </w:tcPr>
          <w:p>
            <w:pPr>
              <w:widowControl/>
              <w:jc w:val="center"/>
              <w:rPr>
                <w:color w:val="FFFFFF"/>
                <w:kern w:val="0"/>
                <w:sz w:val="21"/>
                <w:szCs w:val="21"/>
              </w:rPr>
            </w:pPr>
            <w:r>
              <w:rPr>
                <w:color w:val="FFFFFF"/>
                <w:kern w:val="0"/>
                <w:sz w:val="21"/>
                <w:szCs w:val="21"/>
              </w:rPr>
              <w:t>%</w:t>
            </w:r>
          </w:p>
        </w:tc>
        <w:tc>
          <w:tcPr>
            <w:tcW w:w="708" w:type="dxa"/>
            <w:shd w:val="clear" w:color="auto" w:fill="4BACC6" w:themeFill="accent5"/>
          </w:tcPr>
          <w:p>
            <w:pPr>
              <w:widowControl/>
              <w:jc w:val="center"/>
              <w:rPr>
                <w:color w:val="FFFFFF"/>
                <w:kern w:val="0"/>
                <w:sz w:val="21"/>
                <w:szCs w:val="21"/>
              </w:rPr>
            </w:pPr>
            <w:r>
              <w:rPr>
                <w:rFonts w:hint="eastAsia"/>
                <w:color w:val="FFFFFF"/>
                <w:kern w:val="0"/>
                <w:sz w:val="21"/>
                <w:szCs w:val="21"/>
              </w:rPr>
              <w:t>均值</w:t>
            </w:r>
          </w:p>
        </w:tc>
        <w:tc>
          <w:tcPr>
            <w:tcW w:w="851" w:type="dxa"/>
            <w:shd w:val="clear" w:color="auto" w:fill="4BACC6" w:themeFill="accent5"/>
          </w:tcPr>
          <w:p>
            <w:pPr>
              <w:widowControl/>
              <w:jc w:val="center"/>
              <w:rPr>
                <w:color w:val="FFFFFF"/>
                <w:kern w:val="0"/>
                <w:sz w:val="21"/>
                <w:szCs w:val="21"/>
              </w:rPr>
            </w:pPr>
            <w:r>
              <w:rPr>
                <w:rFonts w:hint="eastAsia"/>
                <w:color w:val="FFFFFF"/>
                <w:kern w:val="0"/>
                <w:sz w:val="21"/>
                <w:szCs w:val="21"/>
              </w:rPr>
              <w:t>标准差</w:t>
            </w:r>
          </w:p>
        </w:tc>
        <w:tc>
          <w:tcPr>
            <w:tcW w:w="709" w:type="dxa"/>
            <w:shd w:val="clear" w:color="auto" w:fill="4BACC6" w:themeFill="accent5"/>
          </w:tcPr>
          <w:p>
            <w:pPr>
              <w:widowControl/>
              <w:jc w:val="center"/>
              <w:rPr>
                <w:color w:val="FFFFFF"/>
                <w:kern w:val="0"/>
                <w:sz w:val="21"/>
                <w:szCs w:val="21"/>
              </w:rPr>
            </w:pPr>
            <w:r>
              <w:rPr>
                <w:rFonts w:hint="eastAsia"/>
                <w:color w:val="FFFFFF"/>
                <w:kern w:val="0"/>
                <w:sz w:val="21"/>
                <w:szCs w:val="21"/>
              </w:rPr>
              <w:t>排序</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3612" w:type="dxa"/>
            <w:shd w:val="clear" w:color="auto" w:fill="auto"/>
          </w:tcPr>
          <w:p>
            <w:pPr>
              <w:rPr>
                <w:b/>
                <w:bCs w:val="0"/>
                <w:color w:val="000000"/>
                <w:sz w:val="21"/>
                <w:szCs w:val="21"/>
              </w:rPr>
            </w:pPr>
            <w:r>
              <w:rPr>
                <w:rFonts w:hint="eastAsia"/>
                <w:b/>
                <w:bCs/>
                <w:color w:val="000000"/>
                <w:sz w:val="21"/>
                <w:szCs w:val="21"/>
              </w:rPr>
              <w:t>其他</w:t>
            </w:r>
          </w:p>
        </w:tc>
        <w:tc>
          <w:tcPr>
            <w:tcW w:w="642" w:type="dxa"/>
            <w:shd w:val="clear" w:color="auto" w:fill="auto"/>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28</w:t>
            </w:r>
          </w:p>
        </w:tc>
        <w:tc>
          <w:tcPr>
            <w:tcW w:w="689" w:type="dxa"/>
            <w:shd w:val="clear" w:color="auto" w:fill="auto"/>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31.11</w:t>
            </w:r>
          </w:p>
        </w:tc>
        <w:tc>
          <w:tcPr>
            <w:tcW w:w="567" w:type="dxa"/>
            <w:shd w:val="clear" w:color="auto" w:fill="auto"/>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8</w:t>
            </w:r>
          </w:p>
        </w:tc>
        <w:tc>
          <w:tcPr>
            <w:tcW w:w="689" w:type="dxa"/>
            <w:shd w:val="clear" w:color="auto" w:fill="auto"/>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8.89</w:t>
            </w:r>
          </w:p>
        </w:tc>
        <w:tc>
          <w:tcPr>
            <w:tcW w:w="567" w:type="dxa"/>
            <w:shd w:val="clear" w:color="auto" w:fill="auto"/>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17</w:t>
            </w:r>
          </w:p>
        </w:tc>
        <w:tc>
          <w:tcPr>
            <w:tcW w:w="689" w:type="dxa"/>
            <w:shd w:val="clear" w:color="auto" w:fill="auto"/>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18.89</w:t>
            </w:r>
          </w:p>
        </w:tc>
        <w:tc>
          <w:tcPr>
            <w:tcW w:w="708" w:type="dxa"/>
            <w:shd w:val="clear" w:color="auto" w:fill="auto"/>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1.99</w:t>
            </w:r>
          </w:p>
        </w:tc>
        <w:tc>
          <w:tcPr>
            <w:tcW w:w="851" w:type="dxa"/>
            <w:shd w:val="clear" w:color="auto" w:fill="auto"/>
          </w:tcPr>
          <w:p>
            <w:pPr>
              <w:jc w:val="center"/>
              <w:rPr>
                <w:rFonts w:ascii="Times New Roman" w:hAnsi="Times New Roman" w:cs="Times New Roman"/>
                <w:sz w:val="21"/>
                <w:szCs w:val="21"/>
              </w:rPr>
            </w:pPr>
            <w:r>
              <w:rPr>
                <w:rFonts w:ascii="Times New Roman" w:hAnsi="Times New Roman" w:cs="Times New Roman"/>
                <w:sz w:val="21"/>
                <w:szCs w:val="21"/>
              </w:rPr>
              <w:t>2.18</w:t>
            </w:r>
          </w:p>
        </w:tc>
        <w:tc>
          <w:tcPr>
            <w:tcW w:w="709" w:type="dxa"/>
            <w:shd w:val="clear" w:color="auto" w:fill="auto"/>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3612" w:type="dxa"/>
            <w:shd w:val="clear" w:color="auto" w:fill="DAEEF3" w:themeFill="accent5" w:themeFillTint="33"/>
          </w:tcPr>
          <w:p>
            <w:pPr>
              <w:rPr>
                <w:b/>
                <w:bCs w:val="0"/>
                <w:color w:val="000000"/>
                <w:sz w:val="21"/>
                <w:szCs w:val="21"/>
              </w:rPr>
            </w:pPr>
            <w:r>
              <w:rPr>
                <w:rFonts w:hint="eastAsia"/>
                <w:b/>
                <w:bCs w:val="0"/>
                <w:color w:val="000000"/>
                <w:sz w:val="21"/>
                <w:szCs w:val="21"/>
              </w:rPr>
              <w:t>公开发表学术论文等</w:t>
            </w:r>
          </w:p>
        </w:tc>
        <w:tc>
          <w:tcPr>
            <w:tcW w:w="642"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19</w:t>
            </w:r>
          </w:p>
        </w:tc>
        <w:tc>
          <w:tcPr>
            <w:tcW w:w="689"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21.11</w:t>
            </w:r>
          </w:p>
        </w:tc>
        <w:tc>
          <w:tcPr>
            <w:tcW w:w="567"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16</w:t>
            </w:r>
          </w:p>
        </w:tc>
        <w:tc>
          <w:tcPr>
            <w:tcW w:w="689"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17.78</w:t>
            </w:r>
          </w:p>
        </w:tc>
        <w:tc>
          <w:tcPr>
            <w:tcW w:w="567"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11</w:t>
            </w:r>
          </w:p>
        </w:tc>
        <w:tc>
          <w:tcPr>
            <w:tcW w:w="689"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12.22</w:t>
            </w:r>
          </w:p>
        </w:tc>
        <w:tc>
          <w:tcPr>
            <w:tcW w:w="708"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1.71</w:t>
            </w:r>
          </w:p>
        </w:tc>
        <w:tc>
          <w:tcPr>
            <w:tcW w:w="851" w:type="dxa"/>
            <w:shd w:val="clear" w:color="auto" w:fill="DAEEF3" w:themeFill="accent5" w:themeFillTint="33"/>
          </w:tcPr>
          <w:p>
            <w:pPr>
              <w:jc w:val="center"/>
              <w:rPr>
                <w:rFonts w:ascii="Times New Roman" w:hAnsi="Times New Roman" w:cs="Times New Roman"/>
                <w:sz w:val="21"/>
                <w:szCs w:val="21"/>
              </w:rPr>
            </w:pPr>
            <w:r>
              <w:rPr>
                <w:rFonts w:ascii="Times New Roman" w:hAnsi="Times New Roman" w:cs="Times New Roman"/>
                <w:sz w:val="21"/>
                <w:szCs w:val="21"/>
              </w:rPr>
              <w:t>2.03</w:t>
            </w:r>
          </w:p>
        </w:tc>
        <w:tc>
          <w:tcPr>
            <w:tcW w:w="709"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3612" w:type="dxa"/>
          </w:tcPr>
          <w:p>
            <w:pPr>
              <w:rPr>
                <w:b/>
                <w:bCs/>
                <w:color w:val="000000"/>
                <w:sz w:val="21"/>
                <w:szCs w:val="21"/>
              </w:rPr>
            </w:pPr>
            <w:r>
              <w:rPr>
                <w:rFonts w:hint="eastAsia"/>
                <w:b/>
                <w:bCs/>
                <w:color w:val="000000"/>
                <w:sz w:val="21"/>
                <w:szCs w:val="21"/>
              </w:rPr>
              <w:t>参与国家或省部级科研课题</w:t>
            </w:r>
          </w:p>
        </w:tc>
        <w:tc>
          <w:tcPr>
            <w:tcW w:w="642"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17</w:t>
            </w:r>
          </w:p>
        </w:tc>
        <w:tc>
          <w:tcPr>
            <w:tcW w:w="689"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18.89</w:t>
            </w:r>
          </w:p>
        </w:tc>
        <w:tc>
          <w:tcPr>
            <w:tcW w:w="567"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14</w:t>
            </w:r>
          </w:p>
        </w:tc>
        <w:tc>
          <w:tcPr>
            <w:tcW w:w="689"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15.56</w:t>
            </w:r>
          </w:p>
        </w:tc>
        <w:tc>
          <w:tcPr>
            <w:tcW w:w="567"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10</w:t>
            </w:r>
          </w:p>
        </w:tc>
        <w:tc>
          <w:tcPr>
            <w:tcW w:w="689"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11.11</w:t>
            </w:r>
          </w:p>
        </w:tc>
        <w:tc>
          <w:tcPr>
            <w:tcW w:w="708"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1.52</w:t>
            </w:r>
          </w:p>
        </w:tc>
        <w:tc>
          <w:tcPr>
            <w:tcW w:w="851" w:type="dxa"/>
          </w:tcPr>
          <w:p>
            <w:pPr>
              <w:jc w:val="center"/>
              <w:rPr>
                <w:rFonts w:ascii="Times New Roman" w:hAnsi="Times New Roman" w:cs="Times New Roman"/>
                <w:sz w:val="21"/>
                <w:szCs w:val="21"/>
              </w:rPr>
            </w:pPr>
            <w:r>
              <w:rPr>
                <w:rFonts w:ascii="Times New Roman" w:hAnsi="Times New Roman" w:cs="Times New Roman"/>
                <w:sz w:val="21"/>
                <w:szCs w:val="21"/>
              </w:rPr>
              <w:t>1.99</w:t>
            </w:r>
          </w:p>
        </w:tc>
        <w:tc>
          <w:tcPr>
            <w:tcW w:w="709"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3612" w:type="dxa"/>
            <w:shd w:val="clear" w:color="auto" w:fill="DAEEF3" w:themeFill="accent5" w:themeFillTint="33"/>
          </w:tcPr>
          <w:p>
            <w:pPr>
              <w:rPr>
                <w:b/>
                <w:bCs/>
                <w:color w:val="000000"/>
                <w:sz w:val="21"/>
                <w:szCs w:val="21"/>
              </w:rPr>
            </w:pPr>
            <w:r>
              <w:rPr>
                <w:rFonts w:hint="eastAsia"/>
                <w:b/>
                <w:bCs/>
                <w:color w:val="000000"/>
                <w:sz w:val="21"/>
                <w:szCs w:val="21"/>
              </w:rPr>
              <w:t xml:space="preserve">参加国内外学术会议并发布论文 </w:t>
            </w:r>
          </w:p>
        </w:tc>
        <w:tc>
          <w:tcPr>
            <w:tcW w:w="642"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13</w:t>
            </w:r>
          </w:p>
        </w:tc>
        <w:tc>
          <w:tcPr>
            <w:tcW w:w="689"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14.44</w:t>
            </w:r>
          </w:p>
        </w:tc>
        <w:tc>
          <w:tcPr>
            <w:tcW w:w="567"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19</w:t>
            </w:r>
          </w:p>
        </w:tc>
        <w:tc>
          <w:tcPr>
            <w:tcW w:w="689"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21.11</w:t>
            </w:r>
          </w:p>
        </w:tc>
        <w:tc>
          <w:tcPr>
            <w:tcW w:w="567"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13</w:t>
            </w:r>
          </w:p>
        </w:tc>
        <w:tc>
          <w:tcPr>
            <w:tcW w:w="689"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14.44</w:t>
            </w:r>
          </w:p>
        </w:tc>
        <w:tc>
          <w:tcPr>
            <w:tcW w:w="708"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1.50</w:t>
            </w:r>
          </w:p>
        </w:tc>
        <w:tc>
          <w:tcPr>
            <w:tcW w:w="851" w:type="dxa"/>
            <w:shd w:val="clear" w:color="auto" w:fill="DAEEF3" w:themeFill="accent5" w:themeFillTint="33"/>
          </w:tcPr>
          <w:p>
            <w:pPr>
              <w:jc w:val="center"/>
              <w:rPr>
                <w:rFonts w:ascii="Times New Roman" w:hAnsi="Times New Roman" w:cs="Times New Roman"/>
                <w:sz w:val="21"/>
                <w:szCs w:val="21"/>
              </w:rPr>
            </w:pPr>
            <w:r>
              <w:rPr>
                <w:rFonts w:ascii="Times New Roman" w:hAnsi="Times New Roman" w:cs="Times New Roman"/>
                <w:sz w:val="21"/>
                <w:szCs w:val="21"/>
              </w:rPr>
              <w:t>1.86</w:t>
            </w:r>
          </w:p>
        </w:tc>
        <w:tc>
          <w:tcPr>
            <w:tcW w:w="709"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4</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3612" w:type="dxa"/>
          </w:tcPr>
          <w:p>
            <w:pPr>
              <w:rPr>
                <w:b/>
                <w:bCs/>
                <w:color w:val="000000"/>
                <w:sz w:val="21"/>
                <w:szCs w:val="21"/>
              </w:rPr>
            </w:pPr>
            <w:r>
              <w:rPr>
                <w:rFonts w:hint="eastAsia"/>
                <w:b/>
                <w:bCs/>
                <w:color w:val="000000"/>
                <w:sz w:val="21"/>
                <w:szCs w:val="21"/>
              </w:rPr>
              <w:t xml:space="preserve">科学道德和学术规范培训 </w:t>
            </w:r>
          </w:p>
        </w:tc>
        <w:tc>
          <w:tcPr>
            <w:tcW w:w="642"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6</w:t>
            </w:r>
          </w:p>
        </w:tc>
        <w:tc>
          <w:tcPr>
            <w:tcW w:w="689"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6.67</w:t>
            </w:r>
          </w:p>
        </w:tc>
        <w:tc>
          <w:tcPr>
            <w:tcW w:w="567"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15</w:t>
            </w:r>
          </w:p>
        </w:tc>
        <w:tc>
          <w:tcPr>
            <w:tcW w:w="689"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16.67</w:t>
            </w:r>
          </w:p>
        </w:tc>
        <w:tc>
          <w:tcPr>
            <w:tcW w:w="567"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20</w:t>
            </w:r>
          </w:p>
        </w:tc>
        <w:tc>
          <w:tcPr>
            <w:tcW w:w="689"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22.22</w:t>
            </w:r>
          </w:p>
        </w:tc>
        <w:tc>
          <w:tcPr>
            <w:tcW w:w="708"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1.06</w:t>
            </w:r>
          </w:p>
        </w:tc>
        <w:tc>
          <w:tcPr>
            <w:tcW w:w="851" w:type="dxa"/>
          </w:tcPr>
          <w:p>
            <w:pPr>
              <w:jc w:val="center"/>
              <w:rPr>
                <w:rFonts w:ascii="Times New Roman" w:hAnsi="Times New Roman" w:cs="Times New Roman"/>
                <w:sz w:val="21"/>
                <w:szCs w:val="21"/>
              </w:rPr>
            </w:pPr>
            <w:r>
              <w:rPr>
                <w:rFonts w:ascii="Times New Roman" w:hAnsi="Times New Roman" w:cs="Times New Roman"/>
                <w:sz w:val="21"/>
                <w:szCs w:val="21"/>
              </w:rPr>
              <w:t>1.52</w:t>
            </w:r>
          </w:p>
        </w:tc>
        <w:tc>
          <w:tcPr>
            <w:tcW w:w="709"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3612" w:type="dxa"/>
            <w:shd w:val="clear" w:color="auto" w:fill="DAEEF3" w:themeFill="accent5" w:themeFillTint="33"/>
          </w:tcPr>
          <w:p>
            <w:pPr>
              <w:rPr>
                <w:b/>
                <w:bCs/>
                <w:color w:val="000000"/>
                <w:sz w:val="21"/>
                <w:szCs w:val="21"/>
              </w:rPr>
            </w:pPr>
            <w:r>
              <w:rPr>
                <w:rFonts w:hint="eastAsia"/>
                <w:b/>
                <w:bCs/>
                <w:color w:val="000000"/>
                <w:sz w:val="21"/>
                <w:szCs w:val="21"/>
              </w:rPr>
              <w:t>出国访学（国外联合培养、公派出国）</w:t>
            </w:r>
          </w:p>
        </w:tc>
        <w:tc>
          <w:tcPr>
            <w:tcW w:w="642"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689"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5.56</w:t>
            </w:r>
          </w:p>
        </w:tc>
        <w:tc>
          <w:tcPr>
            <w:tcW w:w="567"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7</w:t>
            </w:r>
          </w:p>
        </w:tc>
        <w:tc>
          <w:tcPr>
            <w:tcW w:w="689"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7.78</w:t>
            </w:r>
          </w:p>
        </w:tc>
        <w:tc>
          <w:tcPr>
            <w:tcW w:w="567"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6</w:t>
            </w:r>
          </w:p>
        </w:tc>
        <w:tc>
          <w:tcPr>
            <w:tcW w:w="689"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6.67</w:t>
            </w:r>
          </w:p>
        </w:tc>
        <w:tc>
          <w:tcPr>
            <w:tcW w:w="708"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0.58</w:t>
            </w:r>
          </w:p>
        </w:tc>
        <w:tc>
          <w:tcPr>
            <w:tcW w:w="851" w:type="dxa"/>
            <w:shd w:val="clear" w:color="auto" w:fill="DAEEF3" w:themeFill="accent5" w:themeFillTint="33"/>
          </w:tcPr>
          <w:p>
            <w:pPr>
              <w:jc w:val="center"/>
              <w:rPr>
                <w:rFonts w:ascii="Times New Roman" w:hAnsi="Times New Roman" w:cs="Times New Roman"/>
                <w:sz w:val="21"/>
                <w:szCs w:val="21"/>
              </w:rPr>
            </w:pPr>
            <w:r>
              <w:rPr>
                <w:rFonts w:ascii="Times New Roman" w:hAnsi="Times New Roman" w:cs="Times New Roman"/>
                <w:sz w:val="21"/>
                <w:szCs w:val="21"/>
              </w:rPr>
              <w:t>1.36</w:t>
            </w:r>
          </w:p>
        </w:tc>
        <w:tc>
          <w:tcPr>
            <w:tcW w:w="709"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6</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3612" w:type="dxa"/>
          </w:tcPr>
          <w:p>
            <w:pPr>
              <w:rPr>
                <w:b/>
                <w:bCs/>
                <w:color w:val="000000"/>
                <w:sz w:val="21"/>
                <w:szCs w:val="21"/>
              </w:rPr>
            </w:pPr>
            <w:r>
              <w:rPr>
                <w:rFonts w:hint="eastAsia"/>
                <w:b/>
                <w:bCs/>
                <w:color w:val="000000"/>
                <w:sz w:val="21"/>
                <w:szCs w:val="21"/>
              </w:rPr>
              <w:t>参加学科竞赛</w:t>
            </w:r>
          </w:p>
        </w:tc>
        <w:tc>
          <w:tcPr>
            <w:tcW w:w="642"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689"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2.22</w:t>
            </w:r>
          </w:p>
        </w:tc>
        <w:tc>
          <w:tcPr>
            <w:tcW w:w="567"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10</w:t>
            </w:r>
          </w:p>
        </w:tc>
        <w:tc>
          <w:tcPr>
            <w:tcW w:w="689"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11.11</w:t>
            </w:r>
          </w:p>
        </w:tc>
        <w:tc>
          <w:tcPr>
            <w:tcW w:w="567"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12</w:t>
            </w:r>
          </w:p>
        </w:tc>
        <w:tc>
          <w:tcPr>
            <w:tcW w:w="689"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13.33</w:t>
            </w:r>
          </w:p>
        </w:tc>
        <w:tc>
          <w:tcPr>
            <w:tcW w:w="708"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0.58</w:t>
            </w:r>
          </w:p>
        </w:tc>
        <w:tc>
          <w:tcPr>
            <w:tcW w:w="851" w:type="dxa"/>
          </w:tcPr>
          <w:p>
            <w:pPr>
              <w:jc w:val="center"/>
              <w:rPr>
                <w:rFonts w:ascii="Times New Roman" w:hAnsi="Times New Roman" w:cs="Times New Roman"/>
                <w:sz w:val="21"/>
                <w:szCs w:val="21"/>
              </w:rPr>
            </w:pPr>
            <w:r>
              <w:rPr>
                <w:rFonts w:ascii="Times New Roman" w:hAnsi="Times New Roman" w:cs="Times New Roman"/>
                <w:sz w:val="21"/>
                <w:szCs w:val="21"/>
              </w:rPr>
              <w:t>1.17</w:t>
            </w:r>
          </w:p>
        </w:tc>
        <w:tc>
          <w:tcPr>
            <w:tcW w:w="709"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7</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3612" w:type="dxa"/>
            <w:shd w:val="clear" w:color="auto" w:fill="DAEEF3" w:themeFill="accent5" w:themeFillTint="33"/>
          </w:tcPr>
          <w:p>
            <w:pPr>
              <w:rPr>
                <w:b/>
                <w:bCs/>
                <w:color w:val="000000"/>
                <w:sz w:val="21"/>
                <w:szCs w:val="21"/>
              </w:rPr>
            </w:pPr>
            <w:r>
              <w:rPr>
                <w:rFonts w:hint="eastAsia"/>
                <w:b/>
                <w:bCs/>
                <w:color w:val="000000"/>
                <w:sz w:val="21"/>
                <w:szCs w:val="21"/>
              </w:rPr>
              <w:t>获得专利</w:t>
            </w:r>
          </w:p>
        </w:tc>
        <w:tc>
          <w:tcPr>
            <w:tcW w:w="642"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w:t>
            </w:r>
          </w:p>
        </w:tc>
        <w:tc>
          <w:tcPr>
            <w:tcW w:w="689"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0.00</w:t>
            </w:r>
          </w:p>
        </w:tc>
        <w:tc>
          <w:tcPr>
            <w:tcW w:w="567"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689"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1.11</w:t>
            </w:r>
          </w:p>
        </w:tc>
        <w:tc>
          <w:tcPr>
            <w:tcW w:w="567"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689"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1.11</w:t>
            </w:r>
          </w:p>
        </w:tc>
        <w:tc>
          <w:tcPr>
            <w:tcW w:w="708"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0.04</w:t>
            </w:r>
          </w:p>
        </w:tc>
        <w:tc>
          <w:tcPr>
            <w:tcW w:w="851" w:type="dxa"/>
            <w:shd w:val="clear" w:color="auto" w:fill="DAEEF3" w:themeFill="accent5" w:themeFillTint="33"/>
          </w:tcPr>
          <w:p>
            <w:pPr>
              <w:jc w:val="center"/>
              <w:rPr>
                <w:rFonts w:ascii="Times New Roman" w:hAnsi="Times New Roman" w:cs="Times New Roman"/>
                <w:sz w:val="21"/>
                <w:szCs w:val="21"/>
              </w:rPr>
            </w:pPr>
            <w:r>
              <w:rPr>
                <w:rFonts w:ascii="Times New Roman" w:hAnsi="Times New Roman" w:cs="Times New Roman"/>
                <w:sz w:val="21"/>
                <w:szCs w:val="21"/>
              </w:rPr>
              <w:t>0.33</w:t>
            </w:r>
          </w:p>
        </w:tc>
        <w:tc>
          <w:tcPr>
            <w:tcW w:w="709"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8</w:t>
            </w:r>
          </w:p>
        </w:tc>
      </w:tr>
    </w:tbl>
    <w:p/>
    <w:p>
      <w:pPr>
        <w:pStyle w:val="70"/>
        <w:spacing w:before="156" w:after="156"/>
        <w:ind w:left="360"/>
        <w:rPr>
          <w:rFonts w:ascii="仿宋" w:hAnsi="仿宋" w:eastAsia="仿宋"/>
          <w:color w:val="000000" w:themeColor="text1"/>
          <w:sz w:val="24"/>
        </w:rPr>
      </w:pPr>
      <w:r>
        <w:rPr>
          <w:rFonts w:hint="eastAsia"/>
        </w:rPr>
        <w:t>（4）影响培养质量的因素</w:t>
      </w:r>
    </w:p>
    <w:p>
      <w:pPr>
        <w:pStyle w:val="123"/>
        <w:ind w:firstLine="480"/>
      </w:pPr>
      <w:bookmarkStart w:id="315" w:name="PO_331741"/>
      <w:bookmarkEnd w:id="315"/>
      <w:r>
        <w:rPr>
          <w:rFonts w:hint="eastAsia"/>
        </w:rPr>
        <w:t>对研究生来说，其认为影响培养质量的前三位因素依次为：导师指导、学科发展水平、社会实践活动。</w:t>
      </w:r>
    </w:p>
    <w:p>
      <w:pPr>
        <w:jc w:val="center"/>
      </w:pPr>
      <w:bookmarkStart w:id="316" w:name="PO_331742"/>
      <w:bookmarkEnd w:id="316"/>
      <w:r>
        <w:rPr>
          <w:rFonts w:hint="eastAsia"/>
        </w:rPr>
        <w:drawing>
          <wp:inline distT="0" distB="0" distL="0" distR="0">
            <wp:extent cx="5274310" cy="3076575"/>
            <wp:effectExtent l="19050" t="0" r="21590" b="9419"/>
            <wp:docPr id="343"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pPr>
        <w:pStyle w:val="107"/>
        <w:spacing w:before="156" w:after="312"/>
      </w:pPr>
      <w:r>
        <w:rPr>
          <w:rFonts w:hint="eastAsia"/>
        </w:rPr>
        <w:t>影响研究生培养质量的因素</w:t>
      </w:r>
    </w:p>
    <w:p>
      <w:pPr>
        <w:pStyle w:val="55"/>
        <w:spacing w:before="312" w:after="156"/>
      </w:pPr>
      <w:bookmarkStart w:id="317" w:name="PO_331743"/>
      <w:bookmarkEnd w:id="317"/>
      <w:r>
        <w:rPr>
          <w:rFonts w:hint="eastAsia"/>
        </w:rPr>
        <w:t>影响研究生培养质量的因素</w:t>
      </w:r>
    </w:p>
    <w:tbl>
      <w:tblPr>
        <w:tblStyle w:val="157"/>
        <w:tblW w:w="7692" w:type="dxa"/>
        <w:jc w:val="center"/>
        <w:tblInd w:w="0"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1584"/>
        <w:gridCol w:w="581"/>
        <w:gridCol w:w="689"/>
        <w:gridCol w:w="532"/>
        <w:gridCol w:w="733"/>
        <w:gridCol w:w="626"/>
        <w:gridCol w:w="689"/>
        <w:gridCol w:w="708"/>
        <w:gridCol w:w="851"/>
        <w:gridCol w:w="699"/>
      </w:tblGrid>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5" w:hRule="atLeast"/>
          <w:jc w:val="center"/>
        </w:trPr>
        <w:tc>
          <w:tcPr>
            <w:tcW w:w="1584" w:type="dxa"/>
            <w:vMerge w:val="restart"/>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4BACC6" w:themeFill="accent5"/>
          </w:tcPr>
          <w:p>
            <w:pPr>
              <w:widowControl/>
              <w:rPr>
                <w:b w:val="0"/>
                <w:bCs w:val="0"/>
                <w:color w:val="FFFFFF"/>
                <w:kern w:val="0"/>
                <w:sz w:val="21"/>
                <w:szCs w:val="21"/>
              </w:rPr>
            </w:pPr>
          </w:p>
        </w:tc>
        <w:tc>
          <w:tcPr>
            <w:tcW w:w="1270" w:type="dxa"/>
            <w:gridSpan w:val="2"/>
            <w:tcBorders>
              <w:top w:val="single" w:color="4BACC6" w:themeColor="accent5" w:sz="4" w:space="0"/>
              <w:left w:val="single" w:color="92CDDC" w:themeColor="accent5" w:themeTint="99" w:sz="4" w:space="0"/>
              <w:bottom w:val="single" w:color="4BACC6" w:themeColor="accent5" w:sz="4" w:space="0"/>
              <w:right w:val="nil"/>
              <w:insideH w:val="single" w:sz="4" w:space="0"/>
              <w:insideV w:val="nil"/>
            </w:tcBorders>
            <w:shd w:val="clear" w:color="auto" w:fill="4BACC6" w:themeFill="accent5"/>
          </w:tcPr>
          <w:p>
            <w:pPr>
              <w:widowControl/>
              <w:jc w:val="center"/>
              <w:rPr>
                <w:b w:val="0"/>
                <w:bCs w:val="0"/>
                <w:color w:val="FFFFFF"/>
                <w:kern w:val="0"/>
                <w:sz w:val="21"/>
                <w:szCs w:val="21"/>
              </w:rPr>
            </w:pPr>
            <w:r>
              <w:rPr>
                <w:rFonts w:hint="eastAsia"/>
                <w:b w:val="0"/>
                <w:bCs w:val="0"/>
                <w:color w:val="FFFFFF"/>
                <w:kern w:val="0"/>
                <w:sz w:val="21"/>
                <w:szCs w:val="21"/>
              </w:rPr>
              <w:t>首选</w:t>
            </w:r>
          </w:p>
        </w:tc>
        <w:tc>
          <w:tcPr>
            <w:tcW w:w="1265" w:type="dxa"/>
            <w:gridSpan w:val="2"/>
            <w:tcBorders>
              <w:top w:val="single" w:color="4BACC6" w:themeColor="accent5" w:sz="4" w:space="0"/>
              <w:left w:val="single" w:color="92CDDC" w:themeColor="accent5" w:themeTint="99" w:sz="4" w:space="0"/>
              <w:bottom w:val="single" w:color="4BACC6" w:themeColor="accent5" w:sz="4" w:space="0"/>
              <w:right w:val="nil"/>
              <w:insideH w:val="single" w:sz="4" w:space="0"/>
              <w:insideV w:val="nil"/>
            </w:tcBorders>
            <w:shd w:val="clear" w:color="auto" w:fill="4BACC6" w:themeFill="accent5"/>
          </w:tcPr>
          <w:p>
            <w:pPr>
              <w:widowControl/>
              <w:jc w:val="center"/>
              <w:rPr>
                <w:b w:val="0"/>
                <w:bCs w:val="0"/>
                <w:color w:val="FFFFFF"/>
                <w:kern w:val="0"/>
                <w:sz w:val="21"/>
                <w:szCs w:val="21"/>
              </w:rPr>
            </w:pPr>
            <w:r>
              <w:rPr>
                <w:rFonts w:hint="eastAsia"/>
                <w:b w:val="0"/>
                <w:bCs w:val="0"/>
                <w:color w:val="FFFFFF"/>
                <w:kern w:val="0"/>
                <w:sz w:val="21"/>
                <w:szCs w:val="21"/>
              </w:rPr>
              <w:t>第二位</w:t>
            </w:r>
          </w:p>
        </w:tc>
        <w:tc>
          <w:tcPr>
            <w:tcW w:w="1315" w:type="dxa"/>
            <w:gridSpan w:val="2"/>
            <w:tcBorders>
              <w:top w:val="single" w:color="4BACC6" w:themeColor="accent5" w:sz="4" w:space="0"/>
              <w:left w:val="single" w:color="92CDDC" w:themeColor="accent5" w:themeTint="99" w:sz="4" w:space="0"/>
              <w:bottom w:val="single" w:color="4BACC6" w:themeColor="accent5" w:sz="4" w:space="0"/>
              <w:right w:val="nil"/>
              <w:insideH w:val="single" w:sz="4" w:space="0"/>
              <w:insideV w:val="nil"/>
            </w:tcBorders>
            <w:shd w:val="clear" w:color="auto" w:fill="4BACC6" w:themeFill="accent5"/>
          </w:tcPr>
          <w:p>
            <w:pPr>
              <w:widowControl/>
              <w:jc w:val="center"/>
              <w:rPr>
                <w:b w:val="0"/>
                <w:bCs w:val="0"/>
                <w:color w:val="FFFFFF"/>
                <w:kern w:val="0"/>
                <w:sz w:val="21"/>
                <w:szCs w:val="21"/>
              </w:rPr>
            </w:pPr>
            <w:r>
              <w:rPr>
                <w:rFonts w:hint="eastAsia"/>
                <w:b w:val="0"/>
                <w:bCs w:val="0"/>
                <w:color w:val="FFFFFF"/>
                <w:kern w:val="0"/>
                <w:sz w:val="21"/>
                <w:szCs w:val="21"/>
              </w:rPr>
              <w:t>第三位</w:t>
            </w:r>
          </w:p>
        </w:tc>
        <w:tc>
          <w:tcPr>
            <w:tcW w:w="2258" w:type="dxa"/>
            <w:gridSpan w:val="3"/>
            <w:tcBorders>
              <w:top w:val="single" w:color="4BACC6" w:themeColor="accent5" w:sz="4" w:space="0"/>
              <w:left w:val="single" w:color="92CDDC" w:themeColor="accent5" w:themeTint="99" w:sz="4" w:space="0"/>
              <w:bottom w:val="single" w:color="4BACC6" w:themeColor="accent5" w:sz="4" w:space="0"/>
              <w:right w:val="single" w:color="4BACC6" w:themeColor="accent5" w:sz="4" w:space="0"/>
              <w:insideH w:val="single" w:sz="4" w:space="0"/>
              <w:insideV w:val="nil"/>
            </w:tcBorders>
            <w:shd w:val="clear" w:color="auto" w:fill="4BACC6" w:themeFill="accent5"/>
          </w:tcPr>
          <w:p>
            <w:pPr>
              <w:widowControl/>
              <w:jc w:val="center"/>
              <w:rPr>
                <w:b w:val="0"/>
                <w:bCs w:val="0"/>
                <w:color w:val="FFFFFF"/>
                <w:kern w:val="0"/>
                <w:sz w:val="21"/>
                <w:szCs w:val="21"/>
              </w:rPr>
            </w:pPr>
            <w:r>
              <w:rPr>
                <w:rFonts w:hint="eastAsia"/>
                <w:b w:val="0"/>
                <w:bCs w:val="0"/>
                <w:color w:val="FFFFFF"/>
                <w:kern w:val="0"/>
                <w:sz w:val="21"/>
                <w:szCs w:val="21"/>
              </w:rPr>
              <w:t>加权总分</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5" w:hRule="atLeast"/>
          <w:jc w:val="center"/>
        </w:trPr>
        <w:tc>
          <w:tcPr>
            <w:tcW w:w="1584" w:type="dxa"/>
            <w:vMerge w:val="continue"/>
            <w:shd w:val="clear" w:color="auto" w:fill="4BACC6" w:themeFill="accent5"/>
          </w:tcPr>
          <w:p>
            <w:pPr>
              <w:widowControl/>
              <w:rPr>
                <w:b w:val="0"/>
                <w:bCs w:val="0"/>
                <w:color w:val="FFFFFF"/>
                <w:kern w:val="0"/>
                <w:sz w:val="21"/>
                <w:szCs w:val="21"/>
              </w:rPr>
            </w:pPr>
          </w:p>
        </w:tc>
        <w:tc>
          <w:tcPr>
            <w:tcW w:w="581" w:type="dxa"/>
            <w:shd w:val="clear" w:color="auto" w:fill="4BACC6" w:themeFill="accent5"/>
          </w:tcPr>
          <w:p>
            <w:pPr>
              <w:widowControl/>
              <w:jc w:val="center"/>
              <w:rPr>
                <w:color w:val="FFFFFF"/>
                <w:kern w:val="0"/>
                <w:sz w:val="21"/>
                <w:szCs w:val="21"/>
              </w:rPr>
            </w:pPr>
            <w:r>
              <w:rPr>
                <w:color w:val="FFFFFF"/>
                <w:kern w:val="0"/>
                <w:sz w:val="21"/>
                <w:szCs w:val="21"/>
              </w:rPr>
              <w:t>N</w:t>
            </w:r>
          </w:p>
        </w:tc>
        <w:tc>
          <w:tcPr>
            <w:tcW w:w="689" w:type="dxa"/>
            <w:shd w:val="clear" w:color="auto" w:fill="4BACC6" w:themeFill="accent5"/>
          </w:tcPr>
          <w:p>
            <w:pPr>
              <w:widowControl/>
              <w:jc w:val="center"/>
              <w:rPr>
                <w:color w:val="FFFFFF"/>
                <w:kern w:val="0"/>
                <w:sz w:val="21"/>
                <w:szCs w:val="21"/>
              </w:rPr>
            </w:pPr>
            <w:r>
              <w:rPr>
                <w:color w:val="FFFFFF"/>
                <w:kern w:val="0"/>
                <w:sz w:val="21"/>
                <w:szCs w:val="21"/>
              </w:rPr>
              <w:t>%</w:t>
            </w:r>
          </w:p>
        </w:tc>
        <w:tc>
          <w:tcPr>
            <w:tcW w:w="532" w:type="dxa"/>
            <w:shd w:val="clear" w:color="auto" w:fill="4BACC6" w:themeFill="accent5"/>
          </w:tcPr>
          <w:p>
            <w:pPr>
              <w:widowControl/>
              <w:jc w:val="center"/>
              <w:rPr>
                <w:color w:val="FFFFFF"/>
                <w:kern w:val="0"/>
                <w:sz w:val="21"/>
                <w:szCs w:val="21"/>
              </w:rPr>
            </w:pPr>
            <w:r>
              <w:rPr>
                <w:color w:val="FFFFFF"/>
                <w:kern w:val="0"/>
                <w:sz w:val="21"/>
                <w:szCs w:val="21"/>
              </w:rPr>
              <w:t>N</w:t>
            </w:r>
          </w:p>
        </w:tc>
        <w:tc>
          <w:tcPr>
            <w:tcW w:w="733" w:type="dxa"/>
            <w:shd w:val="clear" w:color="auto" w:fill="4BACC6" w:themeFill="accent5"/>
          </w:tcPr>
          <w:p>
            <w:pPr>
              <w:widowControl/>
              <w:jc w:val="center"/>
              <w:rPr>
                <w:color w:val="FFFFFF"/>
                <w:kern w:val="0"/>
                <w:sz w:val="21"/>
                <w:szCs w:val="21"/>
              </w:rPr>
            </w:pPr>
            <w:r>
              <w:rPr>
                <w:color w:val="FFFFFF"/>
                <w:kern w:val="0"/>
                <w:sz w:val="21"/>
                <w:szCs w:val="21"/>
              </w:rPr>
              <w:t>%</w:t>
            </w:r>
          </w:p>
        </w:tc>
        <w:tc>
          <w:tcPr>
            <w:tcW w:w="626" w:type="dxa"/>
            <w:shd w:val="clear" w:color="auto" w:fill="4BACC6" w:themeFill="accent5"/>
          </w:tcPr>
          <w:p>
            <w:pPr>
              <w:widowControl/>
              <w:jc w:val="center"/>
              <w:rPr>
                <w:color w:val="FFFFFF"/>
                <w:kern w:val="0"/>
                <w:sz w:val="21"/>
                <w:szCs w:val="21"/>
              </w:rPr>
            </w:pPr>
            <w:r>
              <w:rPr>
                <w:color w:val="FFFFFF"/>
                <w:kern w:val="0"/>
                <w:sz w:val="21"/>
                <w:szCs w:val="21"/>
              </w:rPr>
              <w:t>N</w:t>
            </w:r>
          </w:p>
        </w:tc>
        <w:tc>
          <w:tcPr>
            <w:tcW w:w="689" w:type="dxa"/>
            <w:shd w:val="clear" w:color="auto" w:fill="4BACC6" w:themeFill="accent5"/>
          </w:tcPr>
          <w:p>
            <w:pPr>
              <w:widowControl/>
              <w:jc w:val="center"/>
              <w:rPr>
                <w:color w:val="FFFFFF"/>
                <w:kern w:val="0"/>
                <w:sz w:val="21"/>
                <w:szCs w:val="21"/>
              </w:rPr>
            </w:pPr>
            <w:r>
              <w:rPr>
                <w:color w:val="FFFFFF"/>
                <w:kern w:val="0"/>
                <w:sz w:val="21"/>
                <w:szCs w:val="21"/>
              </w:rPr>
              <w:t>%</w:t>
            </w:r>
          </w:p>
        </w:tc>
        <w:tc>
          <w:tcPr>
            <w:tcW w:w="708" w:type="dxa"/>
            <w:shd w:val="clear" w:color="auto" w:fill="4BACC6" w:themeFill="accent5"/>
          </w:tcPr>
          <w:p>
            <w:pPr>
              <w:widowControl/>
              <w:jc w:val="center"/>
              <w:rPr>
                <w:color w:val="FFFFFF"/>
                <w:kern w:val="0"/>
                <w:sz w:val="21"/>
                <w:szCs w:val="21"/>
              </w:rPr>
            </w:pPr>
            <w:r>
              <w:rPr>
                <w:rFonts w:hint="eastAsia"/>
                <w:color w:val="FFFFFF"/>
                <w:kern w:val="0"/>
                <w:sz w:val="21"/>
                <w:szCs w:val="21"/>
              </w:rPr>
              <w:t>均值</w:t>
            </w:r>
          </w:p>
        </w:tc>
        <w:tc>
          <w:tcPr>
            <w:tcW w:w="851" w:type="dxa"/>
            <w:shd w:val="clear" w:color="auto" w:fill="4BACC6" w:themeFill="accent5"/>
          </w:tcPr>
          <w:p>
            <w:pPr>
              <w:widowControl/>
              <w:jc w:val="center"/>
              <w:rPr>
                <w:color w:val="FFFFFF"/>
                <w:kern w:val="0"/>
                <w:sz w:val="21"/>
                <w:szCs w:val="21"/>
              </w:rPr>
            </w:pPr>
            <w:r>
              <w:rPr>
                <w:rFonts w:hint="eastAsia"/>
                <w:color w:val="FFFFFF"/>
                <w:kern w:val="0"/>
                <w:sz w:val="21"/>
                <w:szCs w:val="21"/>
              </w:rPr>
              <w:t>标准差</w:t>
            </w:r>
          </w:p>
        </w:tc>
        <w:tc>
          <w:tcPr>
            <w:tcW w:w="699" w:type="dxa"/>
            <w:shd w:val="clear" w:color="auto" w:fill="4BACC6" w:themeFill="accent5"/>
          </w:tcPr>
          <w:p>
            <w:pPr>
              <w:widowControl/>
              <w:jc w:val="center"/>
              <w:rPr>
                <w:color w:val="FFFFFF"/>
                <w:kern w:val="0"/>
                <w:sz w:val="21"/>
                <w:szCs w:val="21"/>
              </w:rPr>
            </w:pPr>
            <w:r>
              <w:rPr>
                <w:rFonts w:hint="eastAsia"/>
                <w:color w:val="FFFFFF"/>
                <w:kern w:val="0"/>
                <w:sz w:val="21"/>
                <w:szCs w:val="21"/>
              </w:rPr>
              <w:t>排序</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1584" w:type="dxa"/>
            <w:shd w:val="clear" w:color="auto" w:fill="auto"/>
          </w:tcPr>
          <w:p>
            <w:pPr>
              <w:rPr>
                <w:b/>
                <w:bCs w:val="0"/>
                <w:color w:val="000000"/>
                <w:sz w:val="21"/>
                <w:szCs w:val="21"/>
              </w:rPr>
            </w:pPr>
            <w:r>
              <w:rPr>
                <w:rFonts w:hint="eastAsia"/>
                <w:b/>
                <w:bCs/>
                <w:color w:val="000000"/>
                <w:sz w:val="21"/>
                <w:szCs w:val="21"/>
              </w:rPr>
              <w:t>导师指导</w:t>
            </w:r>
          </w:p>
        </w:tc>
        <w:tc>
          <w:tcPr>
            <w:tcW w:w="581" w:type="dxa"/>
            <w:shd w:val="clear" w:color="auto" w:fill="auto"/>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31</w:t>
            </w:r>
          </w:p>
        </w:tc>
        <w:tc>
          <w:tcPr>
            <w:tcW w:w="689" w:type="dxa"/>
            <w:shd w:val="clear" w:color="auto" w:fill="auto"/>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34.44</w:t>
            </w:r>
          </w:p>
        </w:tc>
        <w:tc>
          <w:tcPr>
            <w:tcW w:w="532" w:type="dxa"/>
            <w:shd w:val="clear" w:color="auto" w:fill="auto"/>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20</w:t>
            </w:r>
          </w:p>
        </w:tc>
        <w:tc>
          <w:tcPr>
            <w:tcW w:w="733" w:type="dxa"/>
            <w:shd w:val="clear" w:color="auto" w:fill="auto"/>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22.22</w:t>
            </w:r>
          </w:p>
        </w:tc>
        <w:tc>
          <w:tcPr>
            <w:tcW w:w="626" w:type="dxa"/>
            <w:shd w:val="clear" w:color="auto" w:fill="auto"/>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7</w:t>
            </w:r>
          </w:p>
        </w:tc>
        <w:tc>
          <w:tcPr>
            <w:tcW w:w="689" w:type="dxa"/>
            <w:shd w:val="clear" w:color="auto" w:fill="auto"/>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7.78</w:t>
            </w:r>
          </w:p>
        </w:tc>
        <w:tc>
          <w:tcPr>
            <w:tcW w:w="708" w:type="dxa"/>
            <w:shd w:val="clear" w:color="auto" w:fill="auto"/>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2.47</w:t>
            </w:r>
          </w:p>
        </w:tc>
        <w:tc>
          <w:tcPr>
            <w:tcW w:w="851" w:type="dxa"/>
            <w:shd w:val="clear" w:color="auto" w:fill="auto"/>
          </w:tcPr>
          <w:p>
            <w:pPr>
              <w:jc w:val="center"/>
              <w:rPr>
                <w:rFonts w:ascii="Times New Roman" w:hAnsi="Times New Roman" w:cs="Times New Roman"/>
                <w:sz w:val="21"/>
                <w:szCs w:val="21"/>
              </w:rPr>
            </w:pPr>
            <w:r>
              <w:rPr>
                <w:rFonts w:ascii="Times New Roman" w:hAnsi="Times New Roman" w:cs="Times New Roman"/>
                <w:sz w:val="21"/>
                <w:szCs w:val="21"/>
              </w:rPr>
              <w:t>2.16</w:t>
            </w:r>
          </w:p>
        </w:tc>
        <w:tc>
          <w:tcPr>
            <w:tcW w:w="699" w:type="dxa"/>
            <w:shd w:val="clear" w:color="auto" w:fill="auto"/>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1584" w:type="dxa"/>
            <w:shd w:val="clear" w:color="auto" w:fill="DAEEF3" w:themeFill="accent5" w:themeFillTint="33"/>
          </w:tcPr>
          <w:p>
            <w:pPr>
              <w:rPr>
                <w:b/>
                <w:bCs w:val="0"/>
                <w:color w:val="000000"/>
                <w:sz w:val="21"/>
                <w:szCs w:val="21"/>
              </w:rPr>
            </w:pPr>
            <w:r>
              <w:rPr>
                <w:rFonts w:hint="eastAsia"/>
                <w:b/>
                <w:bCs w:val="0"/>
                <w:color w:val="000000"/>
                <w:sz w:val="21"/>
                <w:szCs w:val="21"/>
              </w:rPr>
              <w:t>学科发展水平</w:t>
            </w:r>
          </w:p>
        </w:tc>
        <w:tc>
          <w:tcPr>
            <w:tcW w:w="581"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27</w:t>
            </w:r>
          </w:p>
        </w:tc>
        <w:tc>
          <w:tcPr>
            <w:tcW w:w="689"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30.00</w:t>
            </w:r>
          </w:p>
        </w:tc>
        <w:tc>
          <w:tcPr>
            <w:tcW w:w="532"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6</w:t>
            </w:r>
          </w:p>
        </w:tc>
        <w:tc>
          <w:tcPr>
            <w:tcW w:w="733"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6.67</w:t>
            </w:r>
          </w:p>
        </w:tc>
        <w:tc>
          <w:tcPr>
            <w:tcW w:w="626"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8</w:t>
            </w:r>
          </w:p>
        </w:tc>
        <w:tc>
          <w:tcPr>
            <w:tcW w:w="689"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8.89</w:t>
            </w:r>
          </w:p>
        </w:tc>
        <w:tc>
          <w:tcPr>
            <w:tcW w:w="708"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1.79</w:t>
            </w:r>
          </w:p>
        </w:tc>
        <w:tc>
          <w:tcPr>
            <w:tcW w:w="851" w:type="dxa"/>
            <w:shd w:val="clear" w:color="auto" w:fill="DAEEF3" w:themeFill="accent5" w:themeFillTint="33"/>
          </w:tcPr>
          <w:p>
            <w:pPr>
              <w:jc w:val="center"/>
              <w:rPr>
                <w:rFonts w:ascii="Times New Roman" w:hAnsi="Times New Roman" w:cs="Times New Roman"/>
                <w:sz w:val="21"/>
                <w:szCs w:val="21"/>
              </w:rPr>
            </w:pPr>
            <w:r>
              <w:rPr>
                <w:rFonts w:ascii="Times New Roman" w:hAnsi="Times New Roman" w:cs="Times New Roman"/>
                <w:sz w:val="21"/>
                <w:szCs w:val="21"/>
              </w:rPr>
              <w:t>2.25</w:t>
            </w:r>
          </w:p>
        </w:tc>
        <w:tc>
          <w:tcPr>
            <w:tcW w:w="699"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1584" w:type="dxa"/>
          </w:tcPr>
          <w:p>
            <w:pPr>
              <w:rPr>
                <w:b/>
                <w:bCs/>
                <w:color w:val="000000"/>
                <w:sz w:val="21"/>
                <w:szCs w:val="21"/>
              </w:rPr>
            </w:pPr>
            <w:r>
              <w:rPr>
                <w:rFonts w:hint="eastAsia"/>
                <w:b/>
                <w:bCs/>
                <w:color w:val="000000"/>
                <w:sz w:val="21"/>
                <w:szCs w:val="21"/>
              </w:rPr>
              <w:t>社会实践活动</w:t>
            </w:r>
          </w:p>
        </w:tc>
        <w:tc>
          <w:tcPr>
            <w:tcW w:w="581"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8</w:t>
            </w:r>
          </w:p>
        </w:tc>
        <w:tc>
          <w:tcPr>
            <w:tcW w:w="689"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8.89</w:t>
            </w:r>
          </w:p>
        </w:tc>
        <w:tc>
          <w:tcPr>
            <w:tcW w:w="532"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15</w:t>
            </w:r>
          </w:p>
        </w:tc>
        <w:tc>
          <w:tcPr>
            <w:tcW w:w="733"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16.67</w:t>
            </w:r>
          </w:p>
        </w:tc>
        <w:tc>
          <w:tcPr>
            <w:tcW w:w="626"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19</w:t>
            </w:r>
          </w:p>
        </w:tc>
        <w:tc>
          <w:tcPr>
            <w:tcW w:w="689"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21.11</w:t>
            </w:r>
          </w:p>
        </w:tc>
        <w:tc>
          <w:tcPr>
            <w:tcW w:w="708"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1.16</w:t>
            </w:r>
          </w:p>
        </w:tc>
        <w:tc>
          <w:tcPr>
            <w:tcW w:w="851" w:type="dxa"/>
          </w:tcPr>
          <w:p>
            <w:pPr>
              <w:jc w:val="center"/>
              <w:rPr>
                <w:rFonts w:ascii="Times New Roman" w:hAnsi="Times New Roman" w:cs="Times New Roman"/>
                <w:sz w:val="21"/>
                <w:szCs w:val="21"/>
              </w:rPr>
            </w:pPr>
            <w:r>
              <w:rPr>
                <w:rFonts w:ascii="Times New Roman" w:hAnsi="Times New Roman" w:cs="Times New Roman"/>
                <w:sz w:val="21"/>
                <w:szCs w:val="21"/>
              </w:rPr>
              <w:t>1.62</w:t>
            </w:r>
          </w:p>
        </w:tc>
        <w:tc>
          <w:tcPr>
            <w:tcW w:w="699"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1584" w:type="dxa"/>
            <w:shd w:val="clear" w:color="auto" w:fill="DAEEF3" w:themeFill="accent5" w:themeFillTint="33"/>
          </w:tcPr>
          <w:p>
            <w:pPr>
              <w:rPr>
                <w:b/>
                <w:bCs/>
                <w:color w:val="000000"/>
                <w:sz w:val="21"/>
                <w:szCs w:val="21"/>
              </w:rPr>
            </w:pPr>
            <w:r>
              <w:rPr>
                <w:rFonts w:hint="eastAsia"/>
                <w:b/>
                <w:bCs/>
                <w:color w:val="000000"/>
                <w:sz w:val="21"/>
                <w:szCs w:val="21"/>
              </w:rPr>
              <w:t>理论课程学习</w:t>
            </w:r>
          </w:p>
        </w:tc>
        <w:tc>
          <w:tcPr>
            <w:tcW w:w="581"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7</w:t>
            </w:r>
          </w:p>
        </w:tc>
        <w:tc>
          <w:tcPr>
            <w:tcW w:w="689"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7.78</w:t>
            </w:r>
          </w:p>
        </w:tc>
        <w:tc>
          <w:tcPr>
            <w:tcW w:w="532"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7</w:t>
            </w:r>
          </w:p>
        </w:tc>
        <w:tc>
          <w:tcPr>
            <w:tcW w:w="733"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7.78</w:t>
            </w:r>
          </w:p>
        </w:tc>
        <w:tc>
          <w:tcPr>
            <w:tcW w:w="626"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6</w:t>
            </w:r>
          </w:p>
        </w:tc>
        <w:tc>
          <w:tcPr>
            <w:tcW w:w="689"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6.67</w:t>
            </w:r>
          </w:p>
        </w:tc>
        <w:tc>
          <w:tcPr>
            <w:tcW w:w="708"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0.69</w:t>
            </w:r>
          </w:p>
        </w:tc>
        <w:tc>
          <w:tcPr>
            <w:tcW w:w="851" w:type="dxa"/>
            <w:shd w:val="clear" w:color="auto" w:fill="DAEEF3" w:themeFill="accent5" w:themeFillTint="33"/>
          </w:tcPr>
          <w:p>
            <w:pPr>
              <w:jc w:val="center"/>
              <w:rPr>
                <w:rFonts w:ascii="Times New Roman" w:hAnsi="Times New Roman" w:cs="Times New Roman"/>
                <w:sz w:val="21"/>
                <w:szCs w:val="21"/>
              </w:rPr>
            </w:pPr>
            <w:r>
              <w:rPr>
                <w:rFonts w:ascii="Times New Roman" w:hAnsi="Times New Roman" w:cs="Times New Roman"/>
                <w:sz w:val="21"/>
                <w:szCs w:val="21"/>
              </w:rPr>
              <w:t>1.50</w:t>
            </w:r>
          </w:p>
        </w:tc>
        <w:tc>
          <w:tcPr>
            <w:tcW w:w="699"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4</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1584" w:type="dxa"/>
          </w:tcPr>
          <w:p>
            <w:pPr>
              <w:rPr>
                <w:b/>
                <w:bCs/>
                <w:color w:val="000000"/>
                <w:sz w:val="21"/>
                <w:szCs w:val="21"/>
              </w:rPr>
            </w:pPr>
            <w:r>
              <w:rPr>
                <w:rFonts w:hint="eastAsia"/>
                <w:b/>
                <w:bCs/>
                <w:color w:val="000000"/>
                <w:sz w:val="21"/>
                <w:szCs w:val="21"/>
              </w:rPr>
              <w:t>学术交流活动</w:t>
            </w:r>
          </w:p>
        </w:tc>
        <w:tc>
          <w:tcPr>
            <w:tcW w:w="581"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689"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2.22</w:t>
            </w:r>
          </w:p>
        </w:tc>
        <w:tc>
          <w:tcPr>
            <w:tcW w:w="532"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12</w:t>
            </w:r>
          </w:p>
        </w:tc>
        <w:tc>
          <w:tcPr>
            <w:tcW w:w="733"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13.33</w:t>
            </w:r>
          </w:p>
        </w:tc>
        <w:tc>
          <w:tcPr>
            <w:tcW w:w="626"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11</w:t>
            </w:r>
          </w:p>
        </w:tc>
        <w:tc>
          <w:tcPr>
            <w:tcW w:w="689"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12.22</w:t>
            </w:r>
          </w:p>
        </w:tc>
        <w:tc>
          <w:tcPr>
            <w:tcW w:w="708"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0.63</w:t>
            </w:r>
          </w:p>
        </w:tc>
        <w:tc>
          <w:tcPr>
            <w:tcW w:w="851" w:type="dxa"/>
          </w:tcPr>
          <w:p>
            <w:pPr>
              <w:jc w:val="center"/>
              <w:rPr>
                <w:rFonts w:ascii="Times New Roman" w:hAnsi="Times New Roman" w:cs="Times New Roman"/>
                <w:sz w:val="21"/>
                <w:szCs w:val="21"/>
              </w:rPr>
            </w:pPr>
            <w:r>
              <w:rPr>
                <w:rFonts w:ascii="Times New Roman" w:hAnsi="Times New Roman" w:cs="Times New Roman"/>
                <w:sz w:val="21"/>
                <w:szCs w:val="21"/>
              </w:rPr>
              <w:t>1.22</w:t>
            </w:r>
          </w:p>
        </w:tc>
        <w:tc>
          <w:tcPr>
            <w:tcW w:w="699"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1584" w:type="dxa"/>
            <w:shd w:val="clear" w:color="auto" w:fill="DAEEF3" w:themeFill="accent5" w:themeFillTint="33"/>
          </w:tcPr>
          <w:p>
            <w:pPr>
              <w:rPr>
                <w:b/>
                <w:bCs/>
                <w:color w:val="000000"/>
                <w:sz w:val="21"/>
                <w:szCs w:val="21"/>
              </w:rPr>
            </w:pPr>
            <w:r>
              <w:rPr>
                <w:rFonts w:hint="eastAsia"/>
                <w:b/>
                <w:bCs/>
                <w:color w:val="000000"/>
                <w:sz w:val="21"/>
                <w:szCs w:val="21"/>
              </w:rPr>
              <w:t>学科管理水平</w:t>
            </w:r>
          </w:p>
        </w:tc>
        <w:tc>
          <w:tcPr>
            <w:tcW w:w="581"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689"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5.56</w:t>
            </w:r>
          </w:p>
        </w:tc>
        <w:tc>
          <w:tcPr>
            <w:tcW w:w="532"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7</w:t>
            </w:r>
          </w:p>
        </w:tc>
        <w:tc>
          <w:tcPr>
            <w:tcW w:w="733"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7.78</w:t>
            </w:r>
          </w:p>
        </w:tc>
        <w:tc>
          <w:tcPr>
            <w:tcW w:w="626"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689"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5.56</w:t>
            </w:r>
          </w:p>
        </w:tc>
        <w:tc>
          <w:tcPr>
            <w:tcW w:w="708"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0.57</w:t>
            </w:r>
          </w:p>
        </w:tc>
        <w:tc>
          <w:tcPr>
            <w:tcW w:w="851" w:type="dxa"/>
            <w:shd w:val="clear" w:color="auto" w:fill="DAEEF3" w:themeFill="accent5" w:themeFillTint="33"/>
          </w:tcPr>
          <w:p>
            <w:pPr>
              <w:jc w:val="center"/>
              <w:rPr>
                <w:rFonts w:ascii="Times New Roman" w:hAnsi="Times New Roman" w:cs="Times New Roman"/>
                <w:sz w:val="21"/>
                <w:szCs w:val="21"/>
              </w:rPr>
            </w:pPr>
            <w:r>
              <w:rPr>
                <w:rFonts w:ascii="Times New Roman" w:hAnsi="Times New Roman" w:cs="Times New Roman"/>
                <w:sz w:val="21"/>
                <w:szCs w:val="21"/>
              </w:rPr>
              <w:t>1.36</w:t>
            </w:r>
          </w:p>
        </w:tc>
        <w:tc>
          <w:tcPr>
            <w:tcW w:w="699"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6</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1584" w:type="dxa"/>
          </w:tcPr>
          <w:p>
            <w:pPr>
              <w:rPr>
                <w:b/>
                <w:bCs/>
                <w:color w:val="000000"/>
                <w:sz w:val="21"/>
                <w:szCs w:val="21"/>
              </w:rPr>
            </w:pPr>
            <w:r>
              <w:rPr>
                <w:rFonts w:hint="eastAsia"/>
                <w:b/>
                <w:bCs/>
                <w:color w:val="000000"/>
                <w:sz w:val="21"/>
                <w:szCs w:val="21"/>
              </w:rPr>
              <w:t>研究训练</w:t>
            </w:r>
          </w:p>
        </w:tc>
        <w:tc>
          <w:tcPr>
            <w:tcW w:w="581"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689"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3.33</w:t>
            </w:r>
          </w:p>
        </w:tc>
        <w:tc>
          <w:tcPr>
            <w:tcW w:w="532"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8</w:t>
            </w:r>
          </w:p>
        </w:tc>
        <w:tc>
          <w:tcPr>
            <w:tcW w:w="733"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8.89</w:t>
            </w:r>
          </w:p>
        </w:tc>
        <w:tc>
          <w:tcPr>
            <w:tcW w:w="626"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10</w:t>
            </w:r>
          </w:p>
        </w:tc>
        <w:tc>
          <w:tcPr>
            <w:tcW w:w="689"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11.11</w:t>
            </w:r>
          </w:p>
        </w:tc>
        <w:tc>
          <w:tcPr>
            <w:tcW w:w="708"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0.54</w:t>
            </w:r>
          </w:p>
        </w:tc>
        <w:tc>
          <w:tcPr>
            <w:tcW w:w="851" w:type="dxa"/>
          </w:tcPr>
          <w:p>
            <w:pPr>
              <w:jc w:val="center"/>
              <w:rPr>
                <w:rFonts w:ascii="Times New Roman" w:hAnsi="Times New Roman" w:cs="Times New Roman"/>
                <w:sz w:val="21"/>
                <w:szCs w:val="21"/>
              </w:rPr>
            </w:pPr>
            <w:r>
              <w:rPr>
                <w:rFonts w:ascii="Times New Roman" w:hAnsi="Times New Roman" w:cs="Times New Roman"/>
                <w:sz w:val="21"/>
                <w:szCs w:val="21"/>
              </w:rPr>
              <w:t>1.21</w:t>
            </w:r>
          </w:p>
        </w:tc>
        <w:tc>
          <w:tcPr>
            <w:tcW w:w="699"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7</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1584" w:type="dxa"/>
            <w:shd w:val="clear" w:color="auto" w:fill="DAEEF3" w:themeFill="accent5" w:themeFillTint="33"/>
          </w:tcPr>
          <w:p>
            <w:pPr>
              <w:rPr>
                <w:b/>
                <w:bCs/>
                <w:color w:val="000000"/>
                <w:sz w:val="21"/>
                <w:szCs w:val="21"/>
              </w:rPr>
            </w:pPr>
            <w:r>
              <w:rPr>
                <w:rFonts w:hint="eastAsia"/>
                <w:b/>
                <w:bCs/>
                <w:color w:val="000000"/>
                <w:sz w:val="21"/>
                <w:szCs w:val="21"/>
              </w:rPr>
              <w:t>学位论文研究</w:t>
            </w:r>
          </w:p>
        </w:tc>
        <w:tc>
          <w:tcPr>
            <w:tcW w:w="581"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689"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1.11</w:t>
            </w:r>
          </w:p>
        </w:tc>
        <w:tc>
          <w:tcPr>
            <w:tcW w:w="532"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8</w:t>
            </w:r>
          </w:p>
        </w:tc>
        <w:tc>
          <w:tcPr>
            <w:tcW w:w="733"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8.89</w:t>
            </w:r>
          </w:p>
        </w:tc>
        <w:tc>
          <w:tcPr>
            <w:tcW w:w="626"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11</w:t>
            </w:r>
          </w:p>
        </w:tc>
        <w:tc>
          <w:tcPr>
            <w:tcW w:w="689"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12.22</w:t>
            </w:r>
          </w:p>
        </w:tc>
        <w:tc>
          <w:tcPr>
            <w:tcW w:w="708"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0.44</w:t>
            </w:r>
          </w:p>
        </w:tc>
        <w:tc>
          <w:tcPr>
            <w:tcW w:w="851" w:type="dxa"/>
            <w:shd w:val="clear" w:color="auto" w:fill="DAEEF3" w:themeFill="accent5" w:themeFillTint="33"/>
          </w:tcPr>
          <w:p>
            <w:pPr>
              <w:jc w:val="center"/>
              <w:rPr>
                <w:rFonts w:ascii="Times New Roman" w:hAnsi="Times New Roman" w:cs="Times New Roman"/>
                <w:sz w:val="21"/>
                <w:szCs w:val="21"/>
              </w:rPr>
            </w:pPr>
            <w:r>
              <w:rPr>
                <w:rFonts w:ascii="Times New Roman" w:hAnsi="Times New Roman" w:cs="Times New Roman"/>
                <w:sz w:val="21"/>
                <w:szCs w:val="21"/>
              </w:rPr>
              <w:t>1.01</w:t>
            </w:r>
          </w:p>
        </w:tc>
        <w:tc>
          <w:tcPr>
            <w:tcW w:w="699"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8</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1584" w:type="dxa"/>
          </w:tcPr>
          <w:p>
            <w:pPr>
              <w:rPr>
                <w:b/>
                <w:bCs/>
                <w:color w:val="000000"/>
                <w:sz w:val="21"/>
                <w:szCs w:val="21"/>
              </w:rPr>
            </w:pPr>
            <w:r>
              <w:rPr>
                <w:rFonts w:hint="eastAsia"/>
                <w:b/>
                <w:bCs/>
                <w:color w:val="000000"/>
                <w:sz w:val="21"/>
                <w:szCs w:val="21"/>
              </w:rPr>
              <w:t>学术氛围</w:t>
            </w:r>
          </w:p>
        </w:tc>
        <w:tc>
          <w:tcPr>
            <w:tcW w:w="581"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4</w:t>
            </w:r>
          </w:p>
        </w:tc>
        <w:tc>
          <w:tcPr>
            <w:tcW w:w="689"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4.44</w:t>
            </w:r>
          </w:p>
        </w:tc>
        <w:tc>
          <w:tcPr>
            <w:tcW w:w="532"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733"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3.33</w:t>
            </w:r>
          </w:p>
        </w:tc>
        <w:tc>
          <w:tcPr>
            <w:tcW w:w="626"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6</w:t>
            </w:r>
          </w:p>
        </w:tc>
        <w:tc>
          <w:tcPr>
            <w:tcW w:w="689"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6.67</w:t>
            </w:r>
          </w:p>
        </w:tc>
        <w:tc>
          <w:tcPr>
            <w:tcW w:w="708"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0.39</w:t>
            </w:r>
          </w:p>
        </w:tc>
        <w:tc>
          <w:tcPr>
            <w:tcW w:w="851" w:type="dxa"/>
          </w:tcPr>
          <w:p>
            <w:pPr>
              <w:jc w:val="center"/>
              <w:rPr>
                <w:rFonts w:ascii="Times New Roman" w:hAnsi="Times New Roman" w:cs="Times New Roman"/>
                <w:sz w:val="21"/>
                <w:szCs w:val="21"/>
              </w:rPr>
            </w:pPr>
            <w:r>
              <w:rPr>
                <w:rFonts w:ascii="Times New Roman" w:hAnsi="Times New Roman" w:cs="Times New Roman"/>
                <w:sz w:val="21"/>
                <w:szCs w:val="21"/>
              </w:rPr>
              <w:t>1.16</w:t>
            </w:r>
          </w:p>
        </w:tc>
        <w:tc>
          <w:tcPr>
            <w:tcW w:w="699"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9</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1584" w:type="dxa"/>
            <w:shd w:val="clear" w:color="auto" w:fill="DAEEF3" w:themeFill="accent5" w:themeFillTint="33"/>
          </w:tcPr>
          <w:p>
            <w:pPr>
              <w:rPr>
                <w:b/>
                <w:bCs/>
                <w:color w:val="000000"/>
                <w:sz w:val="21"/>
                <w:szCs w:val="21"/>
              </w:rPr>
            </w:pPr>
            <w:r>
              <w:rPr>
                <w:rFonts w:hint="eastAsia"/>
                <w:b/>
                <w:bCs/>
                <w:color w:val="000000"/>
                <w:sz w:val="21"/>
                <w:szCs w:val="21"/>
              </w:rPr>
              <w:t>科研经费</w:t>
            </w:r>
          </w:p>
        </w:tc>
        <w:tc>
          <w:tcPr>
            <w:tcW w:w="581"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689"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1.11</w:t>
            </w:r>
          </w:p>
        </w:tc>
        <w:tc>
          <w:tcPr>
            <w:tcW w:w="532"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733"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3.33</w:t>
            </w:r>
          </w:p>
        </w:tc>
        <w:tc>
          <w:tcPr>
            <w:tcW w:w="626"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689"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3.33</w:t>
            </w:r>
          </w:p>
        </w:tc>
        <w:tc>
          <w:tcPr>
            <w:tcW w:w="708"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w:t>
            </w:r>
          </w:p>
        </w:tc>
        <w:tc>
          <w:tcPr>
            <w:tcW w:w="851" w:type="dxa"/>
            <w:shd w:val="clear" w:color="auto" w:fill="DAEEF3" w:themeFill="accent5" w:themeFillTint="33"/>
          </w:tcPr>
          <w:p>
            <w:pPr>
              <w:jc w:val="center"/>
              <w:rPr>
                <w:rFonts w:ascii="Times New Roman" w:hAnsi="Times New Roman" w:cs="Times New Roman"/>
                <w:sz w:val="21"/>
                <w:szCs w:val="21"/>
              </w:rPr>
            </w:pPr>
            <w:r>
              <w:rPr>
                <w:rFonts w:ascii="Times New Roman" w:hAnsi="Times New Roman" w:cs="Times New Roman"/>
                <w:sz w:val="21"/>
                <w:szCs w:val="21"/>
              </w:rPr>
              <w:t>0.76</w:t>
            </w:r>
          </w:p>
        </w:tc>
        <w:tc>
          <w:tcPr>
            <w:tcW w:w="699" w:type="dxa"/>
            <w:shd w:val="clear" w:color="auto" w:fill="DAEEF3" w:themeFill="accent5" w:themeFillTint="33"/>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0" w:hRule="atLeast"/>
          <w:jc w:val="center"/>
        </w:trPr>
        <w:tc>
          <w:tcPr>
            <w:tcW w:w="1584" w:type="dxa"/>
          </w:tcPr>
          <w:p>
            <w:pPr>
              <w:rPr>
                <w:b/>
                <w:bCs/>
                <w:color w:val="000000"/>
                <w:sz w:val="21"/>
                <w:szCs w:val="21"/>
              </w:rPr>
            </w:pPr>
            <w:r>
              <w:rPr>
                <w:rFonts w:hint="eastAsia"/>
                <w:b/>
                <w:bCs/>
                <w:color w:val="000000"/>
                <w:sz w:val="21"/>
                <w:szCs w:val="21"/>
              </w:rPr>
              <w:t>奖助学金</w:t>
            </w:r>
          </w:p>
        </w:tc>
        <w:tc>
          <w:tcPr>
            <w:tcW w:w="581"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689"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1.11</w:t>
            </w:r>
          </w:p>
        </w:tc>
        <w:tc>
          <w:tcPr>
            <w:tcW w:w="532"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733"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1.11</w:t>
            </w:r>
          </w:p>
        </w:tc>
        <w:tc>
          <w:tcPr>
            <w:tcW w:w="626"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4</w:t>
            </w:r>
          </w:p>
        </w:tc>
        <w:tc>
          <w:tcPr>
            <w:tcW w:w="689"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4.44</w:t>
            </w:r>
          </w:p>
        </w:tc>
        <w:tc>
          <w:tcPr>
            <w:tcW w:w="708"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0.13</w:t>
            </w:r>
          </w:p>
        </w:tc>
        <w:tc>
          <w:tcPr>
            <w:tcW w:w="851" w:type="dxa"/>
          </w:tcPr>
          <w:p>
            <w:pPr>
              <w:jc w:val="center"/>
              <w:rPr>
                <w:rFonts w:ascii="Times New Roman" w:hAnsi="Times New Roman" w:cs="Times New Roman"/>
                <w:sz w:val="21"/>
                <w:szCs w:val="21"/>
              </w:rPr>
            </w:pPr>
            <w:r>
              <w:rPr>
                <w:rFonts w:ascii="Times New Roman" w:hAnsi="Times New Roman" w:cs="Times New Roman"/>
                <w:sz w:val="21"/>
                <w:szCs w:val="21"/>
              </w:rPr>
              <w:t>0.64</w:t>
            </w:r>
          </w:p>
        </w:tc>
        <w:tc>
          <w:tcPr>
            <w:tcW w:w="699"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11</w:t>
            </w:r>
          </w:p>
        </w:tc>
      </w:tr>
    </w:tbl>
    <w:p>
      <w:pPr>
        <w:pStyle w:val="67"/>
        <w:spacing w:before="156" w:after="156"/>
        <w:ind w:left="240"/>
      </w:pPr>
      <w:bookmarkStart w:id="318" w:name="_Toc486857514"/>
      <w:r>
        <w:rPr>
          <w:rFonts w:hint="eastAsia"/>
        </w:rPr>
        <w:t>4.对就业教育及服务的评价</w:t>
      </w:r>
      <w:bookmarkEnd w:id="318"/>
    </w:p>
    <w:p>
      <w:pPr>
        <w:pStyle w:val="123"/>
        <w:ind w:firstLine="480"/>
      </w:pPr>
      <w:bookmarkStart w:id="319" w:name="PO_33131"/>
      <w:bookmarkEnd w:id="319"/>
      <w:r>
        <w:rPr>
          <w:rFonts w:hint="eastAsia"/>
        </w:rPr>
        <w:t>对于本校就业教育及服务的评价，调查从研究生的参与比例和满意程度两个方面予以衡量。结果显示，在学校组织的各项就业教育及服务中，研究生参与比例较高的项目依次为：就业信息服务（72.22%），就业指导课程（70.00%），就业实习/实践（63.33%）。而从满意程度看，职业测评（4.72）、困难帮扶（4.65）是研究生较为满意的服务。</w:t>
      </w:r>
    </w:p>
    <w:p>
      <w:pPr>
        <w:jc w:val="center"/>
      </w:pPr>
      <w:bookmarkStart w:id="320" w:name="PO_33132"/>
      <w:bookmarkEnd w:id="320"/>
      <w:r>
        <w:rPr>
          <w:rFonts w:hint="eastAsia"/>
        </w:rPr>
        <w:drawing>
          <wp:inline distT="0" distB="0" distL="0" distR="0">
            <wp:extent cx="5274310" cy="3076575"/>
            <wp:effectExtent l="19050" t="0" r="21590" b="9419"/>
            <wp:docPr id="332" name="图表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pPr>
        <w:pStyle w:val="107"/>
        <w:spacing w:before="156" w:after="312"/>
      </w:pPr>
      <w:r>
        <w:rPr>
          <w:rFonts w:hint="eastAsia"/>
        </w:rPr>
        <w:t>研究生就业教育及服务的参与情况和满意程度</w:t>
      </w:r>
    </w:p>
    <w:p>
      <w:pPr>
        <w:pStyle w:val="67"/>
        <w:spacing w:before="156" w:after="156"/>
        <w:ind w:left="240"/>
      </w:pPr>
      <w:bookmarkStart w:id="321" w:name="_Toc486857515"/>
      <w:r>
        <w:rPr>
          <w:rFonts w:hint="eastAsia"/>
        </w:rPr>
        <w:t>5.对创业教育及服务的评价</w:t>
      </w:r>
      <w:bookmarkEnd w:id="321"/>
    </w:p>
    <w:p>
      <w:pPr>
        <w:pStyle w:val="123"/>
        <w:ind w:firstLine="480"/>
      </w:pPr>
      <w:bookmarkStart w:id="322" w:name="PO_33141"/>
      <w:bookmarkEnd w:id="322"/>
      <w:r>
        <w:rPr>
          <w:rFonts w:hint="eastAsia"/>
        </w:rPr>
        <w:t>对于本校创业教育及服务的评价，调查从研究生的参与比例和满意程度两个方面予以衡量。结果显示，在学校组织的各项创业教育及服务中，研究生参与项目比例较高的依次为：与创业者交流（28.89%），创业相关讲座（27.78%），参观创业企业（23.33%）。而从满意程度看，创业课程（4.67）、创业相关讲座（4.64）、参观创业企业（4.57）是研究生较为满意的服务。</w:t>
      </w:r>
    </w:p>
    <w:p>
      <w:pPr>
        <w:jc w:val="center"/>
      </w:pPr>
      <w:bookmarkStart w:id="323" w:name="PO_33142"/>
      <w:bookmarkEnd w:id="323"/>
      <w:r>
        <w:rPr>
          <w:rFonts w:hint="eastAsia"/>
        </w:rPr>
        <w:drawing>
          <wp:inline distT="0" distB="0" distL="0" distR="0">
            <wp:extent cx="5274945" cy="2763520"/>
            <wp:effectExtent l="19050" t="0" r="20737" b="0"/>
            <wp:docPr id="333" name="图表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pPr>
        <w:pStyle w:val="107"/>
        <w:spacing w:before="156" w:after="312"/>
      </w:pPr>
      <w:r>
        <w:rPr>
          <w:rFonts w:hint="eastAsia"/>
        </w:rPr>
        <w:t>研究生创业教育及服务的参与情况和满意程度</w:t>
      </w:r>
    </w:p>
    <w:p>
      <w:pPr>
        <w:pStyle w:val="67"/>
        <w:spacing w:before="156" w:after="156"/>
        <w:ind w:left="240"/>
        <w:rPr>
          <w:rFonts w:ascii="黑体" w:hAnsi="黑体" w:cs="Times New Roman"/>
          <w:sz w:val="24"/>
          <w:szCs w:val="24"/>
        </w:rPr>
      </w:pPr>
      <w:bookmarkStart w:id="324" w:name="_Toc486857516"/>
      <w:r>
        <w:rPr>
          <w:rFonts w:hint="eastAsia"/>
        </w:rPr>
        <w:t>6</w:t>
      </w:r>
      <w:r>
        <w:rPr>
          <w:rStyle w:val="71"/>
          <w:rFonts w:hint="eastAsia"/>
          <w:b/>
        </w:rPr>
        <w:t>.创业计划</w:t>
      </w:r>
      <w:r>
        <w:rPr>
          <w:rStyle w:val="71"/>
          <w:b/>
        </w:rPr>
        <w:t>情况</w:t>
      </w:r>
      <w:bookmarkEnd w:id="324"/>
    </w:p>
    <w:p>
      <w:pPr>
        <w:pStyle w:val="123"/>
        <w:ind w:firstLine="480"/>
      </w:pPr>
      <w:bookmarkStart w:id="325" w:name="PO_33151"/>
      <w:bookmarkEnd w:id="325"/>
      <w:r>
        <w:rPr>
          <w:rFonts w:hint="eastAsia"/>
        </w:rPr>
        <w:t>20.00%的研究生表示在上学期间已经开始创业，其中5.56%的研究生表示会在毕业后停止创业，而14.44%则表示会在创业路上继续前进。</w:t>
      </w:r>
    </w:p>
    <w:p>
      <w:pPr>
        <w:pStyle w:val="123"/>
        <w:ind w:firstLine="480"/>
      </w:pPr>
      <w:bookmarkStart w:id="326" w:name="PO_33152"/>
      <w:bookmarkEnd w:id="326"/>
      <w:r>
        <w:rPr>
          <w:rFonts w:hint="eastAsia"/>
        </w:rPr>
        <w:t>在上学期间没有创业的研究生中，4.44%的研究生表示会在毕业后马上开始创业，36.67%表示不会创业，38.89%打算工作积累一段时间再创业（平均时间3.54年）。</w:t>
      </w:r>
    </w:p>
    <w:p>
      <w:pPr>
        <w:jc w:val="center"/>
      </w:pPr>
      <w:bookmarkStart w:id="327" w:name="PO_33153"/>
      <w:bookmarkEnd w:id="327"/>
      <w:r>
        <w:rPr>
          <w:rFonts w:hint="eastAsia"/>
        </w:rPr>
        <w:drawing>
          <wp:inline distT="0" distB="0" distL="0" distR="0">
            <wp:extent cx="5026025" cy="3133725"/>
            <wp:effectExtent l="19050" t="0" r="22225" b="0"/>
            <wp:docPr id="33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pPr>
        <w:pStyle w:val="107"/>
        <w:spacing w:before="156" w:after="312"/>
      </w:pPr>
      <w:r>
        <w:rPr>
          <w:rFonts w:hint="eastAsia"/>
        </w:rPr>
        <w:t>研究生创业计划情况</w:t>
      </w:r>
    </w:p>
    <w:p>
      <w:pPr>
        <w:pStyle w:val="41"/>
        <w:ind w:firstLine="480"/>
      </w:pPr>
    </w:p>
    <w:p>
      <w:pPr>
        <w:pStyle w:val="67"/>
        <w:spacing w:before="156" w:after="156"/>
        <w:ind w:left="240"/>
        <w:rPr>
          <w:rFonts w:ascii="黑体" w:hAnsi="黑体" w:cs="Times New Roman"/>
          <w:sz w:val="24"/>
          <w:szCs w:val="24"/>
        </w:rPr>
      </w:pPr>
      <w:bookmarkStart w:id="328" w:name="_Toc486857517"/>
      <w:r>
        <w:rPr>
          <w:rFonts w:hint="eastAsia"/>
        </w:rPr>
        <w:t>7</w:t>
      </w:r>
      <w:r>
        <w:rPr>
          <w:rStyle w:val="71"/>
          <w:rFonts w:hint="eastAsia"/>
          <w:b/>
        </w:rPr>
        <w:t>.创业教育的最大</w:t>
      </w:r>
      <w:r>
        <w:rPr>
          <w:rStyle w:val="71"/>
          <w:b/>
        </w:rPr>
        <w:t>收获</w:t>
      </w:r>
      <w:bookmarkEnd w:id="328"/>
    </w:p>
    <w:p>
      <w:pPr>
        <w:pStyle w:val="123"/>
        <w:ind w:firstLine="480"/>
      </w:pPr>
      <w:bookmarkStart w:id="329" w:name="PO_33161"/>
      <w:bookmarkEnd w:id="329"/>
      <w:r>
        <w:rPr>
          <w:rFonts w:hint="eastAsia"/>
        </w:rPr>
        <w:t>调查显示，研究生认为接受学校创业教育后最大的收获是“了解了相关创业政策”（24.44%），其次是“了解了什么是大学生创业”（22.22%），同时，也有17.78%的人表示在接受创业教育后没有任何收获。</w:t>
      </w:r>
    </w:p>
    <w:p>
      <w:pPr>
        <w:jc w:val="center"/>
      </w:pPr>
      <w:bookmarkStart w:id="330" w:name="PO_33162"/>
      <w:bookmarkEnd w:id="330"/>
      <w:r>
        <w:rPr>
          <w:rFonts w:hint="eastAsia"/>
        </w:rPr>
        <w:drawing>
          <wp:inline distT="0" distB="0" distL="0" distR="0">
            <wp:extent cx="5274310" cy="2343150"/>
            <wp:effectExtent l="19050" t="0" r="21590" b="0"/>
            <wp:docPr id="33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pPr>
        <w:pStyle w:val="107"/>
        <w:spacing w:before="156" w:after="312"/>
      </w:pPr>
      <w:r>
        <w:rPr>
          <w:rFonts w:hint="eastAsia"/>
        </w:rPr>
        <w:t>研究生创业教育的最大收获</w:t>
      </w:r>
    </w:p>
    <w:p>
      <w:pPr>
        <w:pStyle w:val="49"/>
        <w:spacing w:before="156" w:after="156"/>
        <w:ind w:left="120"/>
      </w:pPr>
      <w:bookmarkStart w:id="331" w:name="_Toc486857518"/>
      <w:r>
        <w:rPr>
          <w:rFonts w:hint="eastAsia"/>
        </w:rPr>
        <w:t>（二）研究生就业结果</w:t>
      </w:r>
      <w:bookmarkEnd w:id="331"/>
    </w:p>
    <w:p>
      <w:pPr>
        <w:pStyle w:val="67"/>
        <w:spacing w:before="156" w:after="156"/>
        <w:ind w:left="240"/>
      </w:pPr>
      <w:bookmarkStart w:id="332" w:name="_Toc486857519"/>
      <w:r>
        <w:t>1</w:t>
      </w:r>
      <w:r>
        <w:rPr>
          <w:rFonts w:hint="eastAsia"/>
        </w:rPr>
        <w:t>.就业地区</w:t>
      </w:r>
      <w:bookmarkEnd w:id="332"/>
    </w:p>
    <w:p>
      <w:pPr>
        <w:pStyle w:val="123"/>
        <w:ind w:firstLine="480"/>
      </w:pPr>
      <w:bookmarkStart w:id="333" w:name="PO_33211"/>
      <w:bookmarkEnd w:id="333"/>
      <w:r>
        <w:rPr>
          <w:rFonts w:hint="eastAsia"/>
        </w:rPr>
        <w:t>调查显示，83.33%的研究生落实在北京工作。从地理位置看，京外就业的研究生最主要选择在东部地区（11.67%）；从经济区域看，京外就业的研究生最主要选择在东部沿海经济区（6.67%）。总体来看，本校研究生多数选择在经济发达地区工作发展。从期望与实际的差异来看，研究生毕业期望在北京就业的比例比实际在京就业比例更高。</w:t>
      </w:r>
    </w:p>
    <w:p>
      <w:pPr>
        <w:jc w:val="center"/>
      </w:pPr>
      <w:bookmarkStart w:id="334" w:name="PO_33212"/>
      <w:bookmarkEnd w:id="334"/>
      <w:r>
        <w:drawing>
          <wp:inline distT="0" distB="0" distL="0" distR="0">
            <wp:extent cx="5274310" cy="2875915"/>
            <wp:effectExtent l="19050" t="0" r="21590" b="557"/>
            <wp:docPr id="351" name="图表 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pPr>
        <w:pStyle w:val="107"/>
        <w:spacing w:before="156" w:after="312"/>
      </w:pPr>
      <w:r>
        <w:rPr>
          <w:rFonts w:hint="eastAsia"/>
        </w:rPr>
        <w:t>期望首选与最终落实就业地区（1）</w:t>
      </w:r>
    </w:p>
    <w:p>
      <w:pPr>
        <w:pStyle w:val="41"/>
        <w:ind w:firstLine="480"/>
      </w:pPr>
    </w:p>
    <w:p>
      <w:pPr>
        <w:jc w:val="center"/>
      </w:pPr>
      <w:bookmarkStart w:id="335" w:name="PO_33213"/>
      <w:bookmarkEnd w:id="335"/>
      <w:r>
        <w:drawing>
          <wp:inline distT="0" distB="0" distL="0" distR="0">
            <wp:extent cx="5274310" cy="2875915"/>
            <wp:effectExtent l="19050" t="0" r="21590" b="557"/>
            <wp:docPr id="384" name="图表 3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pPr>
        <w:pStyle w:val="107"/>
        <w:spacing w:before="156" w:after="312"/>
      </w:pPr>
      <w:r>
        <w:rPr>
          <w:rFonts w:hint="eastAsia"/>
        </w:rPr>
        <w:t>期望首选与最终落实就业地区（2）</w:t>
      </w:r>
    </w:p>
    <w:p>
      <w:pPr>
        <w:pStyle w:val="123"/>
        <w:ind w:firstLine="482"/>
      </w:pPr>
      <w:r>
        <w:rPr>
          <w:rFonts w:hint="eastAsia"/>
          <w:b/>
        </w:rPr>
        <w:t>从生源地区来看</w:t>
      </w:r>
      <w:r>
        <w:rPr>
          <w:rFonts w:hint="eastAsia"/>
        </w:rPr>
        <w:t>，北京生源的硕士生期望与最终在京就业的比例相同，皆为100.00%；而京外生源的硕士生最终在京就业的比例为87.18%，低于期望（92.31%）。北京生源的博士生期望与最终在京就业的比例相同，皆为100.00%；而京外生源的博士生最终在京就业的比例为37.50%，低于期望（50.00%）。</w:t>
      </w:r>
    </w:p>
    <w:p>
      <w:pPr>
        <w:pStyle w:val="55"/>
        <w:spacing w:before="312" w:after="156"/>
      </w:pPr>
      <w:r>
        <w:rPr>
          <w:rFonts w:hint="eastAsia"/>
        </w:rPr>
        <w:t>不同生源地区硕士生期望首选与最终落实就业地区（%）</w:t>
      </w:r>
    </w:p>
    <w:tbl>
      <w:tblPr>
        <w:tblStyle w:val="125"/>
        <w:tblW w:w="8135" w:type="dxa"/>
        <w:jc w:val="center"/>
        <w:tblInd w:w="0"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1081"/>
        <w:gridCol w:w="1082"/>
        <w:gridCol w:w="1493"/>
        <w:gridCol w:w="1493"/>
        <w:gridCol w:w="1493"/>
        <w:gridCol w:w="1493"/>
      </w:tblGrid>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416" w:hRule="atLeast"/>
          <w:jc w:val="center"/>
        </w:trPr>
        <w:tc>
          <w:tcPr>
            <w:tcW w:w="1081" w:type="dxa"/>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cs="Times New Roman"/>
                <w:b/>
                <w:bCs/>
                <w:color w:val="FFFFFF" w:themeColor="background1"/>
                <w:kern w:val="0"/>
                <w:sz w:val="21"/>
                <w:szCs w:val="21"/>
              </w:rPr>
              <w:t>生源</w:t>
            </w:r>
          </w:p>
        </w:tc>
        <w:tc>
          <w:tcPr>
            <w:tcW w:w="1082"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cs="Times New Roman"/>
                <w:b/>
                <w:bCs/>
                <w:color w:val="FFFFFF" w:themeColor="background1"/>
                <w:kern w:val="0"/>
                <w:sz w:val="21"/>
                <w:szCs w:val="21"/>
              </w:rPr>
              <w:t>类别</w:t>
            </w:r>
          </w:p>
        </w:tc>
        <w:tc>
          <w:tcPr>
            <w:tcW w:w="1493"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cs="Times New Roman"/>
                <w:b/>
                <w:bCs/>
                <w:color w:val="FFFFFF" w:themeColor="background1"/>
                <w:kern w:val="0"/>
                <w:sz w:val="21"/>
                <w:szCs w:val="21"/>
              </w:rPr>
              <w:t>北京</w:t>
            </w:r>
          </w:p>
        </w:tc>
        <w:tc>
          <w:tcPr>
            <w:tcW w:w="1493"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cs="Times New Roman"/>
                <w:b/>
                <w:bCs/>
                <w:color w:val="FFFFFF" w:themeColor="background1"/>
                <w:kern w:val="0"/>
                <w:sz w:val="21"/>
                <w:szCs w:val="21"/>
              </w:rPr>
              <w:t>东部</w:t>
            </w:r>
            <w:r>
              <w:rPr>
                <w:rFonts w:hint="eastAsia"/>
                <w:b/>
                <w:bCs/>
                <w:color w:val="FFFFFF" w:themeColor="background1"/>
                <w:sz w:val="21"/>
              </w:rPr>
              <w:t>地区</w:t>
            </w:r>
          </w:p>
        </w:tc>
        <w:tc>
          <w:tcPr>
            <w:tcW w:w="1493"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cs="Times New Roman"/>
                <w:b/>
                <w:bCs/>
                <w:color w:val="FFFFFF" w:themeColor="background1"/>
                <w:kern w:val="0"/>
                <w:sz w:val="21"/>
                <w:szCs w:val="21"/>
              </w:rPr>
              <w:t>中部</w:t>
            </w:r>
            <w:r>
              <w:rPr>
                <w:rFonts w:hint="eastAsia"/>
                <w:b/>
                <w:bCs/>
                <w:color w:val="FFFFFF" w:themeColor="background1"/>
                <w:sz w:val="21"/>
              </w:rPr>
              <w:t>地区</w:t>
            </w:r>
          </w:p>
        </w:tc>
        <w:tc>
          <w:tcPr>
            <w:tcW w:w="1493" w:type="dxa"/>
            <w:tcBorders>
              <w:top w:val="single" w:color="4BACC6" w:themeColor="accent5" w:sz="4" w:space="0"/>
              <w:bottom w:val="single" w:color="4BACC6" w:themeColor="accent5" w:sz="4" w:space="0"/>
              <w:right w:val="single" w:color="4BACC6" w:themeColor="accent5" w:sz="4" w:space="0"/>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cs="Times New Roman"/>
                <w:b/>
                <w:bCs/>
                <w:color w:val="FFFFFF" w:themeColor="background1"/>
                <w:kern w:val="0"/>
                <w:sz w:val="21"/>
                <w:szCs w:val="21"/>
              </w:rPr>
              <w:t>西部</w:t>
            </w:r>
            <w:r>
              <w:rPr>
                <w:rFonts w:hint="eastAsia"/>
                <w:b/>
                <w:bCs/>
                <w:color w:val="FFFFFF" w:themeColor="background1"/>
                <w:sz w:val="21"/>
              </w:rPr>
              <w:t>地区</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1081" w:type="dxa"/>
            <w:vMerge w:val="restart"/>
            <w:shd w:val="clear" w:color="auto" w:fill="DAEEF3" w:themeFill="accent5" w:themeFillTint="33"/>
            <w:vAlign w:val="center"/>
          </w:tcPr>
          <w:p>
            <w:pPr>
              <w:widowControl/>
              <w:jc w:val="center"/>
              <w:rPr>
                <w:rFonts w:cs="Times New Roman"/>
                <w:b/>
                <w:bCs/>
                <w:color w:val="000000"/>
                <w:kern w:val="0"/>
                <w:sz w:val="21"/>
                <w:szCs w:val="21"/>
              </w:rPr>
            </w:pPr>
            <w:r>
              <w:rPr>
                <w:rFonts w:hint="eastAsia" w:cs="Times New Roman"/>
                <w:b/>
                <w:bCs/>
                <w:color w:val="000000"/>
                <w:kern w:val="0"/>
                <w:sz w:val="21"/>
                <w:szCs w:val="21"/>
              </w:rPr>
              <w:t>北京生源</w:t>
            </w:r>
          </w:p>
        </w:tc>
        <w:tc>
          <w:tcPr>
            <w:tcW w:w="1082"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期望首选</w:t>
            </w:r>
          </w:p>
        </w:tc>
        <w:tc>
          <w:tcPr>
            <w:tcW w:w="1493"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100.00</w:t>
            </w:r>
          </w:p>
        </w:tc>
        <w:tc>
          <w:tcPr>
            <w:tcW w:w="1493"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493"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493"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1081" w:type="dxa"/>
            <w:vMerge w:val="continue"/>
            <w:vAlign w:val="center"/>
          </w:tcPr>
          <w:p>
            <w:pPr>
              <w:widowControl/>
              <w:jc w:val="center"/>
              <w:rPr>
                <w:rFonts w:cs="Times New Roman"/>
                <w:b/>
                <w:bCs/>
                <w:color w:val="000000"/>
                <w:kern w:val="0"/>
                <w:sz w:val="21"/>
                <w:szCs w:val="21"/>
              </w:rPr>
            </w:pPr>
          </w:p>
        </w:tc>
        <w:tc>
          <w:tcPr>
            <w:tcW w:w="1082" w:type="dxa"/>
            <w:vAlign w:val="center"/>
          </w:tcPr>
          <w:p>
            <w:pPr>
              <w:widowControl/>
              <w:jc w:val="center"/>
              <w:rPr>
                <w:rFonts w:cs="Times New Roman"/>
                <w:color w:val="000000"/>
                <w:kern w:val="0"/>
                <w:sz w:val="21"/>
                <w:szCs w:val="21"/>
              </w:rPr>
            </w:pPr>
            <w:r>
              <w:rPr>
                <w:rFonts w:hint="eastAsia" w:cs="Times New Roman"/>
                <w:color w:val="000000"/>
                <w:kern w:val="0"/>
                <w:sz w:val="21"/>
                <w:szCs w:val="21"/>
              </w:rPr>
              <w:t>最终落实</w:t>
            </w:r>
          </w:p>
        </w:tc>
        <w:tc>
          <w:tcPr>
            <w:tcW w:w="1493"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100.00</w:t>
            </w:r>
          </w:p>
        </w:tc>
        <w:tc>
          <w:tcPr>
            <w:tcW w:w="1493"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493"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493"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1081" w:type="dxa"/>
            <w:vMerge w:val="restart"/>
            <w:shd w:val="clear" w:color="auto" w:fill="DAEEF3" w:themeFill="accent5" w:themeFillTint="33"/>
            <w:vAlign w:val="center"/>
          </w:tcPr>
          <w:p>
            <w:pPr>
              <w:widowControl/>
              <w:jc w:val="center"/>
              <w:rPr>
                <w:rFonts w:cs="Times New Roman"/>
                <w:b/>
                <w:bCs/>
                <w:color w:val="000000"/>
                <w:kern w:val="0"/>
                <w:sz w:val="21"/>
                <w:szCs w:val="21"/>
              </w:rPr>
            </w:pPr>
            <w:r>
              <w:rPr>
                <w:rFonts w:hint="eastAsia" w:cs="Times New Roman"/>
                <w:b/>
                <w:bCs/>
                <w:color w:val="000000"/>
                <w:kern w:val="0"/>
                <w:sz w:val="21"/>
                <w:szCs w:val="21"/>
              </w:rPr>
              <w:t>京外生源</w:t>
            </w:r>
          </w:p>
        </w:tc>
        <w:tc>
          <w:tcPr>
            <w:tcW w:w="1082" w:type="dxa"/>
            <w:shd w:val="clear" w:color="auto" w:fill="DAEEF3" w:themeFill="accent5" w:themeFillTint="33"/>
            <w:vAlign w:val="center"/>
          </w:tcPr>
          <w:p>
            <w:pPr>
              <w:widowControl/>
              <w:jc w:val="center"/>
              <w:rPr>
                <w:rFonts w:cs="Times New Roman"/>
                <w:color w:val="000000"/>
                <w:kern w:val="0"/>
                <w:sz w:val="21"/>
                <w:szCs w:val="21"/>
              </w:rPr>
            </w:pPr>
            <w:r>
              <w:rPr>
                <w:rFonts w:hint="eastAsia" w:cs="Times New Roman"/>
                <w:color w:val="000000"/>
                <w:kern w:val="0"/>
                <w:sz w:val="21"/>
                <w:szCs w:val="21"/>
              </w:rPr>
              <w:t>期望首选</w:t>
            </w:r>
          </w:p>
        </w:tc>
        <w:tc>
          <w:tcPr>
            <w:tcW w:w="1493"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92.31</w:t>
            </w:r>
          </w:p>
        </w:tc>
        <w:tc>
          <w:tcPr>
            <w:tcW w:w="1493"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5.13</w:t>
            </w:r>
          </w:p>
        </w:tc>
        <w:tc>
          <w:tcPr>
            <w:tcW w:w="1493"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2.56</w:t>
            </w:r>
          </w:p>
        </w:tc>
        <w:tc>
          <w:tcPr>
            <w:tcW w:w="1493"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1081" w:type="dxa"/>
            <w:vMerge w:val="continue"/>
            <w:vAlign w:val="center"/>
          </w:tcPr>
          <w:p>
            <w:pPr>
              <w:widowControl/>
              <w:jc w:val="center"/>
              <w:rPr>
                <w:rFonts w:cs="Times New Roman"/>
                <w:b/>
                <w:bCs/>
                <w:color w:val="000000"/>
                <w:kern w:val="0"/>
                <w:sz w:val="21"/>
                <w:szCs w:val="21"/>
              </w:rPr>
            </w:pPr>
          </w:p>
        </w:tc>
        <w:tc>
          <w:tcPr>
            <w:tcW w:w="1082" w:type="dxa"/>
            <w:vAlign w:val="center"/>
          </w:tcPr>
          <w:p>
            <w:pPr>
              <w:widowControl/>
              <w:jc w:val="center"/>
              <w:rPr>
                <w:rFonts w:cs="Times New Roman"/>
                <w:color w:val="000000"/>
                <w:kern w:val="0"/>
                <w:sz w:val="21"/>
                <w:szCs w:val="21"/>
              </w:rPr>
            </w:pPr>
            <w:r>
              <w:rPr>
                <w:rFonts w:hint="eastAsia" w:cs="Times New Roman"/>
                <w:color w:val="000000"/>
                <w:kern w:val="0"/>
                <w:sz w:val="21"/>
                <w:szCs w:val="21"/>
              </w:rPr>
              <w:t>最终落实</w:t>
            </w:r>
          </w:p>
        </w:tc>
        <w:tc>
          <w:tcPr>
            <w:tcW w:w="1493"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87.18</w:t>
            </w:r>
          </w:p>
        </w:tc>
        <w:tc>
          <w:tcPr>
            <w:tcW w:w="1493"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7.69</w:t>
            </w:r>
          </w:p>
        </w:tc>
        <w:tc>
          <w:tcPr>
            <w:tcW w:w="1493"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5.13</w:t>
            </w:r>
          </w:p>
        </w:tc>
        <w:tc>
          <w:tcPr>
            <w:tcW w:w="1493"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bl>
    <w:p>
      <w:pPr>
        <w:pStyle w:val="123"/>
        <w:ind w:firstLine="480"/>
      </w:pPr>
    </w:p>
    <w:p>
      <w:pPr>
        <w:pStyle w:val="55"/>
        <w:spacing w:before="312" w:after="156"/>
      </w:pPr>
      <w:bookmarkStart w:id="336" w:name="PO_33215"/>
      <w:bookmarkEnd w:id="336"/>
      <w:r>
        <w:rPr>
          <w:rFonts w:hint="eastAsia"/>
        </w:rPr>
        <w:t>不同生源地区博士生期望首选与最终落实就业地区（%）</w:t>
      </w:r>
    </w:p>
    <w:tbl>
      <w:tblPr>
        <w:tblStyle w:val="125"/>
        <w:tblW w:w="8135" w:type="dxa"/>
        <w:jc w:val="center"/>
        <w:tblInd w:w="0"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1081"/>
        <w:gridCol w:w="1082"/>
        <w:gridCol w:w="1493"/>
        <w:gridCol w:w="1493"/>
        <w:gridCol w:w="1493"/>
        <w:gridCol w:w="1493"/>
      </w:tblGrid>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416" w:hRule="atLeast"/>
          <w:jc w:val="center"/>
        </w:trPr>
        <w:tc>
          <w:tcPr>
            <w:tcW w:w="1081" w:type="dxa"/>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cs="Times New Roman"/>
                <w:b/>
                <w:bCs/>
                <w:color w:val="FFFFFF" w:themeColor="background1"/>
                <w:kern w:val="0"/>
                <w:sz w:val="21"/>
                <w:szCs w:val="21"/>
              </w:rPr>
              <w:t>生源</w:t>
            </w:r>
          </w:p>
        </w:tc>
        <w:tc>
          <w:tcPr>
            <w:tcW w:w="1082"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cs="Times New Roman"/>
                <w:b/>
                <w:bCs/>
                <w:color w:val="FFFFFF" w:themeColor="background1"/>
                <w:kern w:val="0"/>
                <w:sz w:val="21"/>
                <w:szCs w:val="21"/>
              </w:rPr>
              <w:t>类别</w:t>
            </w:r>
          </w:p>
        </w:tc>
        <w:tc>
          <w:tcPr>
            <w:tcW w:w="1493"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cs="Times New Roman"/>
                <w:b/>
                <w:bCs/>
                <w:color w:val="FFFFFF" w:themeColor="background1"/>
                <w:kern w:val="0"/>
                <w:sz w:val="21"/>
                <w:szCs w:val="21"/>
              </w:rPr>
              <w:t>北京</w:t>
            </w:r>
          </w:p>
        </w:tc>
        <w:tc>
          <w:tcPr>
            <w:tcW w:w="1493"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cs="Times New Roman"/>
                <w:b/>
                <w:bCs/>
                <w:color w:val="FFFFFF" w:themeColor="background1"/>
                <w:kern w:val="0"/>
                <w:sz w:val="21"/>
                <w:szCs w:val="21"/>
              </w:rPr>
              <w:t>东部</w:t>
            </w:r>
            <w:r>
              <w:rPr>
                <w:rFonts w:hint="eastAsia"/>
                <w:b/>
                <w:bCs/>
                <w:color w:val="FFFFFF" w:themeColor="background1"/>
                <w:sz w:val="21"/>
              </w:rPr>
              <w:t>地区</w:t>
            </w:r>
          </w:p>
        </w:tc>
        <w:tc>
          <w:tcPr>
            <w:tcW w:w="1493"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cs="Times New Roman"/>
                <w:b/>
                <w:bCs/>
                <w:color w:val="FFFFFF" w:themeColor="background1"/>
                <w:kern w:val="0"/>
                <w:sz w:val="21"/>
                <w:szCs w:val="21"/>
              </w:rPr>
              <w:t>中部</w:t>
            </w:r>
            <w:r>
              <w:rPr>
                <w:rFonts w:hint="eastAsia"/>
                <w:b/>
                <w:bCs/>
                <w:color w:val="FFFFFF" w:themeColor="background1"/>
                <w:sz w:val="21"/>
              </w:rPr>
              <w:t>地区</w:t>
            </w:r>
          </w:p>
        </w:tc>
        <w:tc>
          <w:tcPr>
            <w:tcW w:w="1493" w:type="dxa"/>
            <w:tcBorders>
              <w:top w:val="single" w:color="4BACC6" w:themeColor="accent5" w:sz="4" w:space="0"/>
              <w:bottom w:val="single" w:color="4BACC6" w:themeColor="accent5" w:sz="4" w:space="0"/>
              <w:right w:val="single" w:color="4BACC6" w:themeColor="accent5" w:sz="4" w:space="0"/>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cs="Times New Roman"/>
                <w:b/>
                <w:bCs/>
                <w:color w:val="FFFFFF" w:themeColor="background1"/>
                <w:kern w:val="0"/>
                <w:sz w:val="21"/>
                <w:szCs w:val="21"/>
              </w:rPr>
              <w:t>西部</w:t>
            </w:r>
            <w:r>
              <w:rPr>
                <w:rFonts w:hint="eastAsia"/>
                <w:b/>
                <w:bCs/>
                <w:color w:val="FFFFFF" w:themeColor="background1"/>
                <w:sz w:val="21"/>
              </w:rPr>
              <w:t>地区</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1081" w:type="dxa"/>
            <w:vMerge w:val="restart"/>
            <w:shd w:val="clear" w:color="auto" w:fill="DAEEF3" w:themeFill="accent5" w:themeFillTint="33"/>
            <w:vAlign w:val="center"/>
          </w:tcPr>
          <w:p>
            <w:pPr>
              <w:widowControl/>
              <w:jc w:val="center"/>
              <w:rPr>
                <w:rFonts w:cs="Times New Roman"/>
                <w:b/>
                <w:bCs/>
                <w:color w:val="000000"/>
                <w:kern w:val="0"/>
                <w:sz w:val="21"/>
                <w:szCs w:val="21"/>
              </w:rPr>
            </w:pPr>
            <w:r>
              <w:rPr>
                <w:rFonts w:hint="eastAsia" w:cs="Times New Roman"/>
                <w:b/>
                <w:bCs/>
                <w:color w:val="000000"/>
                <w:kern w:val="0"/>
                <w:sz w:val="21"/>
                <w:szCs w:val="21"/>
              </w:rPr>
              <w:t>北京生源</w:t>
            </w:r>
          </w:p>
        </w:tc>
        <w:tc>
          <w:tcPr>
            <w:tcW w:w="1082"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期望首选</w:t>
            </w:r>
          </w:p>
        </w:tc>
        <w:tc>
          <w:tcPr>
            <w:tcW w:w="1493"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100.00</w:t>
            </w:r>
          </w:p>
        </w:tc>
        <w:tc>
          <w:tcPr>
            <w:tcW w:w="1493"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493"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493"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1081" w:type="dxa"/>
            <w:vMerge w:val="continue"/>
            <w:vAlign w:val="center"/>
          </w:tcPr>
          <w:p>
            <w:pPr>
              <w:widowControl/>
              <w:jc w:val="center"/>
              <w:rPr>
                <w:rFonts w:cs="Times New Roman"/>
                <w:b/>
                <w:bCs/>
                <w:color w:val="000000"/>
                <w:kern w:val="0"/>
                <w:sz w:val="21"/>
                <w:szCs w:val="21"/>
              </w:rPr>
            </w:pPr>
          </w:p>
        </w:tc>
        <w:tc>
          <w:tcPr>
            <w:tcW w:w="1082" w:type="dxa"/>
            <w:vAlign w:val="center"/>
          </w:tcPr>
          <w:p>
            <w:pPr>
              <w:widowControl/>
              <w:jc w:val="center"/>
              <w:rPr>
                <w:rFonts w:cs="Times New Roman"/>
                <w:color w:val="000000"/>
                <w:kern w:val="0"/>
                <w:sz w:val="21"/>
                <w:szCs w:val="21"/>
              </w:rPr>
            </w:pPr>
            <w:r>
              <w:rPr>
                <w:rFonts w:hint="eastAsia" w:cs="Times New Roman"/>
                <w:color w:val="000000"/>
                <w:kern w:val="0"/>
                <w:sz w:val="21"/>
                <w:szCs w:val="21"/>
              </w:rPr>
              <w:t>最终落实</w:t>
            </w:r>
          </w:p>
        </w:tc>
        <w:tc>
          <w:tcPr>
            <w:tcW w:w="1493"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100.00</w:t>
            </w:r>
          </w:p>
        </w:tc>
        <w:tc>
          <w:tcPr>
            <w:tcW w:w="1493"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493"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493"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1081" w:type="dxa"/>
            <w:vMerge w:val="restart"/>
            <w:shd w:val="clear" w:color="auto" w:fill="DAEEF3" w:themeFill="accent5" w:themeFillTint="33"/>
            <w:vAlign w:val="center"/>
          </w:tcPr>
          <w:p>
            <w:pPr>
              <w:widowControl/>
              <w:jc w:val="center"/>
              <w:rPr>
                <w:rFonts w:cs="Times New Roman"/>
                <w:b/>
                <w:bCs/>
                <w:color w:val="000000"/>
                <w:kern w:val="0"/>
                <w:sz w:val="21"/>
                <w:szCs w:val="21"/>
              </w:rPr>
            </w:pPr>
            <w:r>
              <w:rPr>
                <w:rFonts w:hint="eastAsia" w:cs="Times New Roman"/>
                <w:b/>
                <w:bCs/>
                <w:color w:val="000000"/>
                <w:kern w:val="0"/>
                <w:sz w:val="21"/>
                <w:szCs w:val="21"/>
              </w:rPr>
              <w:t>京外生源</w:t>
            </w:r>
          </w:p>
        </w:tc>
        <w:tc>
          <w:tcPr>
            <w:tcW w:w="1082" w:type="dxa"/>
            <w:shd w:val="clear" w:color="auto" w:fill="DAEEF3" w:themeFill="accent5" w:themeFillTint="33"/>
            <w:vAlign w:val="center"/>
          </w:tcPr>
          <w:p>
            <w:pPr>
              <w:widowControl/>
              <w:jc w:val="center"/>
              <w:rPr>
                <w:rFonts w:cs="Times New Roman"/>
                <w:color w:val="000000"/>
                <w:kern w:val="0"/>
                <w:sz w:val="21"/>
                <w:szCs w:val="21"/>
              </w:rPr>
            </w:pPr>
            <w:r>
              <w:rPr>
                <w:rFonts w:hint="eastAsia" w:cs="Times New Roman"/>
                <w:color w:val="000000"/>
                <w:kern w:val="0"/>
                <w:sz w:val="21"/>
                <w:szCs w:val="21"/>
              </w:rPr>
              <w:t>期望首选</w:t>
            </w:r>
          </w:p>
        </w:tc>
        <w:tc>
          <w:tcPr>
            <w:tcW w:w="1493"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50.00</w:t>
            </w:r>
          </w:p>
        </w:tc>
        <w:tc>
          <w:tcPr>
            <w:tcW w:w="1493"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37.50</w:t>
            </w:r>
          </w:p>
        </w:tc>
        <w:tc>
          <w:tcPr>
            <w:tcW w:w="1493"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12.50</w:t>
            </w:r>
          </w:p>
        </w:tc>
        <w:tc>
          <w:tcPr>
            <w:tcW w:w="1493"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1081" w:type="dxa"/>
            <w:vMerge w:val="continue"/>
            <w:vAlign w:val="center"/>
          </w:tcPr>
          <w:p>
            <w:pPr>
              <w:widowControl/>
              <w:jc w:val="center"/>
              <w:rPr>
                <w:rFonts w:cs="Times New Roman"/>
                <w:b/>
                <w:bCs/>
                <w:color w:val="000000"/>
                <w:kern w:val="0"/>
                <w:sz w:val="21"/>
                <w:szCs w:val="21"/>
              </w:rPr>
            </w:pPr>
          </w:p>
        </w:tc>
        <w:tc>
          <w:tcPr>
            <w:tcW w:w="1082" w:type="dxa"/>
            <w:vAlign w:val="center"/>
          </w:tcPr>
          <w:p>
            <w:pPr>
              <w:widowControl/>
              <w:jc w:val="center"/>
              <w:rPr>
                <w:rFonts w:cs="Times New Roman"/>
                <w:color w:val="000000"/>
                <w:kern w:val="0"/>
                <w:sz w:val="21"/>
                <w:szCs w:val="21"/>
              </w:rPr>
            </w:pPr>
            <w:r>
              <w:rPr>
                <w:rFonts w:hint="eastAsia" w:cs="Times New Roman"/>
                <w:color w:val="000000"/>
                <w:kern w:val="0"/>
                <w:sz w:val="21"/>
                <w:szCs w:val="21"/>
              </w:rPr>
              <w:t>最终落实</w:t>
            </w:r>
          </w:p>
        </w:tc>
        <w:tc>
          <w:tcPr>
            <w:tcW w:w="1493"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37.50</w:t>
            </w:r>
          </w:p>
        </w:tc>
        <w:tc>
          <w:tcPr>
            <w:tcW w:w="1493"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50.00</w:t>
            </w:r>
          </w:p>
        </w:tc>
        <w:tc>
          <w:tcPr>
            <w:tcW w:w="1493"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493"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12.50</w:t>
            </w:r>
          </w:p>
        </w:tc>
      </w:tr>
    </w:tbl>
    <w:p/>
    <w:p>
      <w:pPr>
        <w:pStyle w:val="123"/>
        <w:ind w:firstLine="482"/>
      </w:pPr>
      <w:r>
        <w:rPr>
          <w:rFonts w:hint="eastAsia"/>
          <w:b/>
        </w:rPr>
        <w:t>就专业</w:t>
      </w:r>
      <w:r>
        <w:rPr>
          <w:b/>
        </w:rPr>
        <w:t>而言</w:t>
      </w:r>
      <w:r>
        <w:rPr>
          <w:rFonts w:hint="eastAsia"/>
          <w:b/>
        </w:rPr>
        <w:t>，</w:t>
      </w:r>
      <w:bookmarkStart w:id="337" w:name="PO_33217"/>
      <w:bookmarkEnd w:id="337"/>
      <w:r>
        <w:rPr>
          <w:rFonts w:hint="eastAsia"/>
        </w:rPr>
        <w:t>戏剧与影视学专业硕士生期望首选在北京就业的比例最高，艺术学理论专业硕士生最终落实在京的比例最高。具体来看，艺术学理论专业硕士生期望与落实在京就业比例相当；戏剧专业和戏剧与影视学专业硕士生期望在京就业的比例高于落实。</w:t>
      </w:r>
    </w:p>
    <w:p>
      <w:pPr>
        <w:pStyle w:val="123"/>
        <w:ind w:firstLine="480"/>
      </w:pPr>
      <w:r>
        <w:rPr>
          <w:rFonts w:hint="eastAsia"/>
        </w:rPr>
        <w:t>戏剧与影视学博士生期望首选在北京就业的比例最高，60.00%博士生最终落实在京；艺术学理论博士生期望首选和最终落实在北京就业的比例最高。具体来看，艺术学理论专业博士生期望与落实在京就业比例相当；戏剧与影视学专业博士生期望在京就业的比例高于落实比例。</w:t>
      </w:r>
    </w:p>
    <w:p>
      <w:pPr>
        <w:pStyle w:val="55"/>
        <w:spacing w:before="312" w:after="156"/>
      </w:pPr>
      <w:r>
        <w:rPr>
          <w:rFonts w:hint="eastAsia"/>
        </w:rPr>
        <w:t>不同专业硕士生期望首选与最终落实就业地区（%）</w:t>
      </w:r>
    </w:p>
    <w:tbl>
      <w:tblPr>
        <w:tblStyle w:val="125"/>
        <w:tblW w:w="8279" w:type="dxa"/>
        <w:jc w:val="center"/>
        <w:tblInd w:w="0"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2891"/>
        <w:gridCol w:w="1113"/>
        <w:gridCol w:w="876"/>
        <w:gridCol w:w="1120"/>
        <w:gridCol w:w="1135"/>
        <w:gridCol w:w="1144"/>
      </w:tblGrid>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416" w:hRule="atLeast"/>
          <w:jc w:val="center"/>
        </w:trPr>
        <w:tc>
          <w:tcPr>
            <w:tcW w:w="2891" w:type="dxa"/>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hint="eastAsia" w:cs="Times New Roman"/>
                <w:b/>
                <w:bCs/>
                <w:color w:val="FFFFFF" w:themeColor="background1"/>
                <w:kern w:val="0"/>
                <w:sz w:val="21"/>
                <w:szCs w:val="21"/>
              </w:rPr>
              <w:t>专业</w:t>
            </w:r>
          </w:p>
        </w:tc>
        <w:tc>
          <w:tcPr>
            <w:tcW w:w="1113"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cs="Times New Roman"/>
                <w:b/>
                <w:bCs/>
                <w:color w:val="FFFFFF" w:themeColor="background1"/>
                <w:kern w:val="0"/>
                <w:sz w:val="21"/>
                <w:szCs w:val="21"/>
              </w:rPr>
              <w:t>类别</w:t>
            </w:r>
          </w:p>
        </w:tc>
        <w:tc>
          <w:tcPr>
            <w:tcW w:w="876"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cs="Times New Roman"/>
                <w:b/>
                <w:bCs/>
                <w:color w:val="FFFFFF" w:themeColor="background1"/>
                <w:kern w:val="0"/>
                <w:sz w:val="21"/>
                <w:szCs w:val="21"/>
              </w:rPr>
              <w:t>北京</w:t>
            </w:r>
          </w:p>
        </w:tc>
        <w:tc>
          <w:tcPr>
            <w:tcW w:w="1120"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cs="Times New Roman"/>
                <w:b/>
                <w:bCs/>
                <w:color w:val="FFFFFF" w:themeColor="background1"/>
                <w:kern w:val="0"/>
                <w:sz w:val="21"/>
                <w:szCs w:val="21"/>
              </w:rPr>
              <w:t>东部</w:t>
            </w:r>
            <w:r>
              <w:rPr>
                <w:rFonts w:hint="eastAsia"/>
                <w:b/>
                <w:bCs/>
                <w:color w:val="FFFFFF" w:themeColor="background1"/>
                <w:sz w:val="21"/>
              </w:rPr>
              <w:t>地区</w:t>
            </w:r>
          </w:p>
        </w:tc>
        <w:tc>
          <w:tcPr>
            <w:tcW w:w="1135"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cs="Times New Roman"/>
                <w:b/>
                <w:bCs/>
                <w:color w:val="FFFFFF" w:themeColor="background1"/>
                <w:kern w:val="0"/>
                <w:sz w:val="21"/>
                <w:szCs w:val="21"/>
              </w:rPr>
              <w:t>中部</w:t>
            </w:r>
            <w:r>
              <w:rPr>
                <w:rFonts w:hint="eastAsia"/>
                <w:b/>
                <w:bCs/>
                <w:color w:val="FFFFFF" w:themeColor="background1"/>
                <w:sz w:val="21"/>
              </w:rPr>
              <w:t>地区</w:t>
            </w:r>
          </w:p>
        </w:tc>
        <w:tc>
          <w:tcPr>
            <w:tcW w:w="1144" w:type="dxa"/>
            <w:tcBorders>
              <w:top w:val="single" w:color="4BACC6" w:themeColor="accent5" w:sz="4" w:space="0"/>
              <w:bottom w:val="single" w:color="4BACC6" w:themeColor="accent5" w:sz="4" w:space="0"/>
              <w:right w:val="single" w:color="4BACC6" w:themeColor="accent5" w:sz="4" w:space="0"/>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cs="Times New Roman"/>
                <w:b/>
                <w:bCs/>
                <w:color w:val="FFFFFF" w:themeColor="background1"/>
                <w:kern w:val="0"/>
                <w:sz w:val="21"/>
                <w:szCs w:val="21"/>
              </w:rPr>
              <w:t>西部</w:t>
            </w:r>
            <w:r>
              <w:rPr>
                <w:rFonts w:hint="eastAsia"/>
                <w:b/>
                <w:bCs/>
                <w:color w:val="FFFFFF" w:themeColor="background1"/>
                <w:sz w:val="21"/>
              </w:rPr>
              <w:t>地区</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891" w:type="dxa"/>
            <w:vMerge w:val="restart"/>
            <w:shd w:val="clear" w:color="auto" w:fill="DAEEF3" w:themeFill="accent5" w:themeFillTint="33"/>
            <w:vAlign w:val="center"/>
          </w:tcPr>
          <w:p>
            <w:pPr>
              <w:widowControl/>
              <w:jc w:val="left"/>
              <w:rPr>
                <w:rFonts w:cs="Times New Roman"/>
                <w:b/>
                <w:bCs/>
                <w:color w:val="000000"/>
                <w:kern w:val="0"/>
                <w:sz w:val="21"/>
                <w:szCs w:val="21"/>
              </w:rPr>
            </w:pPr>
            <w:r>
              <w:rPr>
                <w:rFonts w:hint="eastAsia" w:cs="Times New Roman"/>
                <w:b/>
                <w:bCs/>
                <w:color w:val="000000"/>
                <w:kern w:val="0"/>
                <w:sz w:val="21"/>
                <w:szCs w:val="21"/>
              </w:rPr>
              <w:t>戏剧</w:t>
            </w:r>
          </w:p>
        </w:tc>
        <w:tc>
          <w:tcPr>
            <w:tcW w:w="1113"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期望首选</w:t>
            </w:r>
          </w:p>
        </w:tc>
        <w:tc>
          <w:tcPr>
            <w:tcW w:w="876"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80.00</w:t>
            </w:r>
          </w:p>
        </w:tc>
        <w:tc>
          <w:tcPr>
            <w:tcW w:w="1120"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13.33</w:t>
            </w:r>
          </w:p>
        </w:tc>
        <w:tc>
          <w:tcPr>
            <w:tcW w:w="1135"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6.67</w:t>
            </w:r>
          </w:p>
        </w:tc>
        <w:tc>
          <w:tcPr>
            <w:tcW w:w="1144"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891" w:type="dxa"/>
            <w:vMerge w:val="continue"/>
            <w:vAlign w:val="center"/>
          </w:tcPr>
          <w:p>
            <w:pPr>
              <w:widowControl/>
              <w:jc w:val="left"/>
              <w:rPr>
                <w:rFonts w:cs="Times New Roman"/>
                <w:b/>
                <w:bCs/>
                <w:color w:val="000000"/>
                <w:kern w:val="0"/>
                <w:sz w:val="21"/>
                <w:szCs w:val="21"/>
              </w:rPr>
            </w:pPr>
          </w:p>
        </w:tc>
        <w:tc>
          <w:tcPr>
            <w:tcW w:w="1113" w:type="dxa"/>
            <w:vAlign w:val="center"/>
          </w:tcPr>
          <w:p>
            <w:pPr>
              <w:widowControl/>
              <w:jc w:val="center"/>
              <w:rPr>
                <w:rFonts w:cs="Times New Roman"/>
                <w:color w:val="000000"/>
                <w:kern w:val="0"/>
                <w:sz w:val="21"/>
                <w:szCs w:val="21"/>
              </w:rPr>
            </w:pPr>
            <w:r>
              <w:rPr>
                <w:rFonts w:hint="eastAsia" w:cs="Times New Roman"/>
                <w:color w:val="000000"/>
                <w:kern w:val="0"/>
                <w:sz w:val="21"/>
                <w:szCs w:val="21"/>
              </w:rPr>
              <w:t>最终落实</w:t>
            </w:r>
          </w:p>
        </w:tc>
        <w:tc>
          <w:tcPr>
            <w:tcW w:w="876"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73.33</w:t>
            </w:r>
          </w:p>
        </w:tc>
        <w:tc>
          <w:tcPr>
            <w:tcW w:w="1120"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20.00</w:t>
            </w:r>
          </w:p>
        </w:tc>
        <w:tc>
          <w:tcPr>
            <w:tcW w:w="1135"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6.67</w:t>
            </w:r>
          </w:p>
        </w:tc>
        <w:tc>
          <w:tcPr>
            <w:tcW w:w="1144"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891" w:type="dxa"/>
            <w:vMerge w:val="restart"/>
            <w:shd w:val="clear" w:color="auto" w:fill="DAEEF3" w:themeFill="accent5" w:themeFillTint="33"/>
            <w:vAlign w:val="center"/>
          </w:tcPr>
          <w:p>
            <w:pPr>
              <w:widowControl/>
              <w:jc w:val="left"/>
              <w:rPr>
                <w:rFonts w:cs="Times New Roman"/>
                <w:b/>
                <w:bCs/>
                <w:color w:val="000000"/>
                <w:kern w:val="0"/>
                <w:sz w:val="21"/>
                <w:szCs w:val="21"/>
              </w:rPr>
            </w:pPr>
            <w:r>
              <w:rPr>
                <w:rFonts w:hint="eastAsia" w:cs="Times New Roman"/>
                <w:b/>
                <w:bCs/>
                <w:color w:val="000000"/>
                <w:kern w:val="0"/>
                <w:sz w:val="21"/>
                <w:szCs w:val="21"/>
              </w:rPr>
              <w:t>戏剧与影视学</w:t>
            </w:r>
          </w:p>
        </w:tc>
        <w:tc>
          <w:tcPr>
            <w:tcW w:w="1113" w:type="dxa"/>
            <w:shd w:val="clear" w:color="auto" w:fill="DAEEF3" w:themeFill="accent5" w:themeFillTint="33"/>
            <w:vAlign w:val="center"/>
          </w:tcPr>
          <w:p>
            <w:pPr>
              <w:widowControl/>
              <w:jc w:val="center"/>
              <w:rPr>
                <w:rFonts w:cs="Times New Roman"/>
                <w:color w:val="000000"/>
                <w:kern w:val="0"/>
                <w:sz w:val="21"/>
                <w:szCs w:val="21"/>
              </w:rPr>
            </w:pPr>
            <w:r>
              <w:rPr>
                <w:rFonts w:hint="eastAsia" w:cs="Times New Roman"/>
                <w:color w:val="000000"/>
                <w:kern w:val="0"/>
                <w:sz w:val="21"/>
                <w:szCs w:val="21"/>
              </w:rPr>
              <w:t>期望首选</w:t>
            </w:r>
          </w:p>
        </w:tc>
        <w:tc>
          <w:tcPr>
            <w:tcW w:w="876"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100.00</w:t>
            </w:r>
          </w:p>
        </w:tc>
        <w:tc>
          <w:tcPr>
            <w:tcW w:w="1120"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35"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44"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891" w:type="dxa"/>
            <w:vMerge w:val="continue"/>
            <w:vAlign w:val="center"/>
          </w:tcPr>
          <w:p>
            <w:pPr>
              <w:widowControl/>
              <w:jc w:val="left"/>
              <w:rPr>
                <w:rFonts w:cs="Times New Roman"/>
                <w:b/>
                <w:bCs/>
                <w:color w:val="000000"/>
                <w:kern w:val="0"/>
                <w:sz w:val="21"/>
                <w:szCs w:val="21"/>
              </w:rPr>
            </w:pPr>
          </w:p>
        </w:tc>
        <w:tc>
          <w:tcPr>
            <w:tcW w:w="1113" w:type="dxa"/>
            <w:vAlign w:val="center"/>
          </w:tcPr>
          <w:p>
            <w:pPr>
              <w:widowControl/>
              <w:jc w:val="center"/>
              <w:rPr>
                <w:rFonts w:cs="Times New Roman"/>
                <w:color w:val="000000"/>
                <w:kern w:val="0"/>
                <w:sz w:val="21"/>
                <w:szCs w:val="21"/>
              </w:rPr>
            </w:pPr>
            <w:r>
              <w:rPr>
                <w:rFonts w:hint="eastAsia" w:cs="Times New Roman"/>
                <w:color w:val="000000"/>
                <w:kern w:val="0"/>
                <w:sz w:val="21"/>
                <w:szCs w:val="21"/>
              </w:rPr>
              <w:t>最终落实</w:t>
            </w:r>
          </w:p>
        </w:tc>
        <w:tc>
          <w:tcPr>
            <w:tcW w:w="876"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96.00</w:t>
            </w:r>
          </w:p>
        </w:tc>
        <w:tc>
          <w:tcPr>
            <w:tcW w:w="1120"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35"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4.00</w:t>
            </w:r>
          </w:p>
        </w:tc>
        <w:tc>
          <w:tcPr>
            <w:tcW w:w="1144"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891" w:type="dxa"/>
            <w:vMerge w:val="restart"/>
            <w:shd w:val="clear" w:color="auto" w:fill="DAEEF3" w:themeFill="accent5" w:themeFillTint="33"/>
            <w:vAlign w:val="center"/>
          </w:tcPr>
          <w:p>
            <w:pPr>
              <w:widowControl/>
              <w:jc w:val="left"/>
              <w:rPr>
                <w:rFonts w:cs="Times New Roman"/>
                <w:b/>
                <w:bCs/>
                <w:color w:val="000000"/>
                <w:kern w:val="0"/>
                <w:sz w:val="21"/>
                <w:szCs w:val="21"/>
              </w:rPr>
            </w:pPr>
            <w:r>
              <w:rPr>
                <w:rFonts w:hint="eastAsia" w:cs="Times New Roman"/>
                <w:b/>
                <w:bCs/>
                <w:color w:val="000000"/>
                <w:kern w:val="0"/>
                <w:sz w:val="21"/>
                <w:szCs w:val="21"/>
              </w:rPr>
              <w:t>艺术学理论</w:t>
            </w:r>
          </w:p>
        </w:tc>
        <w:tc>
          <w:tcPr>
            <w:tcW w:w="1113" w:type="dxa"/>
            <w:shd w:val="clear" w:color="auto" w:fill="DAEEF3" w:themeFill="accent5" w:themeFillTint="33"/>
            <w:vAlign w:val="center"/>
          </w:tcPr>
          <w:p>
            <w:pPr>
              <w:widowControl/>
              <w:jc w:val="center"/>
              <w:rPr>
                <w:rFonts w:cs="Times New Roman"/>
                <w:color w:val="000000"/>
                <w:kern w:val="0"/>
                <w:sz w:val="21"/>
                <w:szCs w:val="21"/>
              </w:rPr>
            </w:pPr>
            <w:r>
              <w:rPr>
                <w:rFonts w:hint="eastAsia" w:cs="Times New Roman"/>
                <w:color w:val="000000"/>
                <w:kern w:val="0"/>
                <w:sz w:val="21"/>
                <w:szCs w:val="21"/>
              </w:rPr>
              <w:t>期望首选</w:t>
            </w:r>
          </w:p>
        </w:tc>
        <w:tc>
          <w:tcPr>
            <w:tcW w:w="876"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100.00</w:t>
            </w:r>
          </w:p>
        </w:tc>
        <w:tc>
          <w:tcPr>
            <w:tcW w:w="1120"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35"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44"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891" w:type="dxa"/>
            <w:vMerge w:val="continue"/>
            <w:vAlign w:val="center"/>
          </w:tcPr>
          <w:p>
            <w:pPr>
              <w:widowControl/>
              <w:jc w:val="left"/>
              <w:rPr>
                <w:rFonts w:cs="Times New Roman"/>
                <w:b/>
                <w:bCs/>
                <w:color w:val="000000"/>
                <w:kern w:val="0"/>
                <w:sz w:val="21"/>
                <w:szCs w:val="21"/>
              </w:rPr>
            </w:pPr>
          </w:p>
        </w:tc>
        <w:tc>
          <w:tcPr>
            <w:tcW w:w="1113" w:type="dxa"/>
            <w:vAlign w:val="center"/>
          </w:tcPr>
          <w:p>
            <w:pPr>
              <w:widowControl/>
              <w:jc w:val="center"/>
              <w:rPr>
                <w:rFonts w:cs="Times New Roman"/>
                <w:color w:val="000000"/>
                <w:kern w:val="0"/>
                <w:sz w:val="21"/>
                <w:szCs w:val="21"/>
              </w:rPr>
            </w:pPr>
            <w:r>
              <w:rPr>
                <w:rFonts w:hint="eastAsia" w:cs="Times New Roman"/>
                <w:color w:val="000000"/>
                <w:kern w:val="0"/>
                <w:sz w:val="21"/>
                <w:szCs w:val="21"/>
              </w:rPr>
              <w:t>最终落实</w:t>
            </w:r>
          </w:p>
        </w:tc>
        <w:tc>
          <w:tcPr>
            <w:tcW w:w="876"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100.00</w:t>
            </w:r>
          </w:p>
        </w:tc>
        <w:tc>
          <w:tcPr>
            <w:tcW w:w="1120"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35"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44"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bl>
    <w:p/>
    <w:p>
      <w:pPr>
        <w:pStyle w:val="55"/>
        <w:spacing w:before="312" w:after="156"/>
      </w:pPr>
      <w:r>
        <w:rPr>
          <w:rFonts w:hint="eastAsia"/>
        </w:rPr>
        <w:t>不同专业博士生期望首选与最终落实就业地区（%）</w:t>
      </w:r>
    </w:p>
    <w:tbl>
      <w:tblPr>
        <w:tblStyle w:val="125"/>
        <w:tblW w:w="8279" w:type="dxa"/>
        <w:jc w:val="center"/>
        <w:tblInd w:w="0"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2969"/>
        <w:gridCol w:w="1113"/>
        <w:gridCol w:w="756"/>
        <w:gridCol w:w="1131"/>
        <w:gridCol w:w="1150"/>
        <w:gridCol w:w="1160"/>
      </w:tblGrid>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416" w:hRule="atLeast"/>
          <w:jc w:val="center"/>
        </w:trPr>
        <w:tc>
          <w:tcPr>
            <w:tcW w:w="2969" w:type="dxa"/>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hint="eastAsia" w:cs="Times New Roman"/>
                <w:b/>
                <w:bCs/>
                <w:color w:val="FFFFFF" w:themeColor="background1"/>
                <w:kern w:val="0"/>
                <w:sz w:val="21"/>
                <w:szCs w:val="21"/>
              </w:rPr>
              <w:t>专业</w:t>
            </w:r>
          </w:p>
        </w:tc>
        <w:tc>
          <w:tcPr>
            <w:tcW w:w="1113"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cs="Times New Roman"/>
                <w:b/>
                <w:bCs/>
                <w:color w:val="FFFFFF" w:themeColor="background1"/>
                <w:kern w:val="0"/>
                <w:sz w:val="21"/>
                <w:szCs w:val="21"/>
              </w:rPr>
              <w:t>类别</w:t>
            </w:r>
          </w:p>
        </w:tc>
        <w:tc>
          <w:tcPr>
            <w:tcW w:w="756"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cs="Times New Roman"/>
                <w:b/>
                <w:bCs/>
                <w:color w:val="FFFFFF" w:themeColor="background1"/>
                <w:kern w:val="0"/>
                <w:sz w:val="21"/>
                <w:szCs w:val="21"/>
              </w:rPr>
              <w:t>北京</w:t>
            </w:r>
          </w:p>
        </w:tc>
        <w:tc>
          <w:tcPr>
            <w:tcW w:w="1131"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cs="Times New Roman"/>
                <w:b/>
                <w:bCs/>
                <w:color w:val="FFFFFF" w:themeColor="background1"/>
                <w:kern w:val="0"/>
                <w:sz w:val="21"/>
                <w:szCs w:val="21"/>
              </w:rPr>
              <w:t>东部</w:t>
            </w:r>
            <w:r>
              <w:rPr>
                <w:rFonts w:hint="eastAsia"/>
                <w:b/>
                <w:bCs/>
                <w:color w:val="FFFFFF" w:themeColor="background1"/>
                <w:sz w:val="21"/>
              </w:rPr>
              <w:t>地区</w:t>
            </w:r>
          </w:p>
        </w:tc>
        <w:tc>
          <w:tcPr>
            <w:tcW w:w="1150"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cs="Times New Roman"/>
                <w:b/>
                <w:bCs/>
                <w:color w:val="FFFFFF" w:themeColor="background1"/>
                <w:kern w:val="0"/>
                <w:sz w:val="21"/>
                <w:szCs w:val="21"/>
              </w:rPr>
              <w:t>中部</w:t>
            </w:r>
            <w:r>
              <w:rPr>
                <w:rFonts w:hint="eastAsia"/>
                <w:b/>
                <w:bCs/>
                <w:color w:val="FFFFFF" w:themeColor="background1"/>
                <w:sz w:val="21"/>
              </w:rPr>
              <w:t>地区</w:t>
            </w:r>
          </w:p>
        </w:tc>
        <w:tc>
          <w:tcPr>
            <w:tcW w:w="1160" w:type="dxa"/>
            <w:tcBorders>
              <w:top w:val="single" w:color="4BACC6" w:themeColor="accent5" w:sz="4" w:space="0"/>
              <w:bottom w:val="single" w:color="4BACC6" w:themeColor="accent5" w:sz="4" w:space="0"/>
              <w:right w:val="single" w:color="4BACC6" w:themeColor="accent5" w:sz="4" w:space="0"/>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cs="Times New Roman"/>
                <w:b/>
                <w:bCs/>
                <w:color w:val="FFFFFF" w:themeColor="background1"/>
                <w:kern w:val="0"/>
                <w:sz w:val="21"/>
                <w:szCs w:val="21"/>
              </w:rPr>
              <w:t>西部</w:t>
            </w:r>
            <w:r>
              <w:rPr>
                <w:rFonts w:hint="eastAsia"/>
                <w:b/>
                <w:bCs/>
                <w:color w:val="FFFFFF" w:themeColor="background1"/>
                <w:sz w:val="21"/>
              </w:rPr>
              <w:t>地区</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969" w:type="dxa"/>
            <w:vMerge w:val="restart"/>
            <w:shd w:val="clear" w:color="auto" w:fill="DAEEF3" w:themeFill="accent5" w:themeFillTint="33"/>
            <w:vAlign w:val="center"/>
          </w:tcPr>
          <w:p>
            <w:pPr>
              <w:widowControl/>
              <w:jc w:val="left"/>
              <w:rPr>
                <w:rFonts w:cs="Times New Roman"/>
                <w:b/>
                <w:bCs/>
                <w:color w:val="000000"/>
                <w:kern w:val="0"/>
                <w:sz w:val="21"/>
                <w:szCs w:val="21"/>
              </w:rPr>
            </w:pPr>
            <w:r>
              <w:rPr>
                <w:rFonts w:hint="eastAsia" w:cs="Times New Roman"/>
                <w:b/>
                <w:bCs/>
                <w:color w:val="000000"/>
                <w:kern w:val="0"/>
                <w:sz w:val="21"/>
                <w:szCs w:val="21"/>
              </w:rPr>
              <w:t>戏剧与影视学</w:t>
            </w:r>
          </w:p>
        </w:tc>
        <w:tc>
          <w:tcPr>
            <w:tcW w:w="1113"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期望首选</w:t>
            </w:r>
          </w:p>
        </w:tc>
        <w:tc>
          <w:tcPr>
            <w:tcW w:w="756"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70.00</w:t>
            </w:r>
          </w:p>
        </w:tc>
        <w:tc>
          <w:tcPr>
            <w:tcW w:w="1131"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30.00</w:t>
            </w:r>
          </w:p>
        </w:tc>
        <w:tc>
          <w:tcPr>
            <w:tcW w:w="1150"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60"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969" w:type="dxa"/>
            <w:vMerge w:val="continue"/>
            <w:vAlign w:val="center"/>
          </w:tcPr>
          <w:p>
            <w:pPr>
              <w:widowControl/>
              <w:jc w:val="left"/>
              <w:rPr>
                <w:rFonts w:cs="Times New Roman"/>
                <w:b/>
                <w:bCs/>
                <w:color w:val="000000"/>
                <w:kern w:val="0"/>
                <w:sz w:val="21"/>
                <w:szCs w:val="21"/>
              </w:rPr>
            </w:pPr>
          </w:p>
        </w:tc>
        <w:tc>
          <w:tcPr>
            <w:tcW w:w="1113" w:type="dxa"/>
            <w:vAlign w:val="center"/>
          </w:tcPr>
          <w:p>
            <w:pPr>
              <w:widowControl/>
              <w:jc w:val="center"/>
              <w:rPr>
                <w:rFonts w:cs="Times New Roman"/>
                <w:color w:val="000000"/>
                <w:kern w:val="0"/>
                <w:sz w:val="21"/>
                <w:szCs w:val="21"/>
              </w:rPr>
            </w:pPr>
            <w:r>
              <w:rPr>
                <w:rFonts w:hint="eastAsia" w:cs="Times New Roman"/>
                <w:color w:val="000000"/>
                <w:kern w:val="0"/>
                <w:sz w:val="21"/>
                <w:szCs w:val="21"/>
              </w:rPr>
              <w:t>最终落实</w:t>
            </w:r>
          </w:p>
        </w:tc>
        <w:tc>
          <w:tcPr>
            <w:tcW w:w="756"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60.00</w:t>
            </w:r>
          </w:p>
        </w:tc>
        <w:tc>
          <w:tcPr>
            <w:tcW w:w="1131"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30.00</w:t>
            </w:r>
          </w:p>
        </w:tc>
        <w:tc>
          <w:tcPr>
            <w:tcW w:w="1150"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60"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969" w:type="dxa"/>
            <w:vMerge w:val="restart"/>
            <w:shd w:val="clear" w:color="auto" w:fill="DAEEF3" w:themeFill="accent5" w:themeFillTint="33"/>
            <w:vAlign w:val="center"/>
          </w:tcPr>
          <w:p>
            <w:pPr>
              <w:widowControl/>
              <w:jc w:val="left"/>
              <w:rPr>
                <w:rFonts w:cs="Times New Roman"/>
                <w:b/>
                <w:bCs/>
                <w:color w:val="000000"/>
                <w:kern w:val="0"/>
                <w:sz w:val="21"/>
                <w:szCs w:val="21"/>
              </w:rPr>
            </w:pPr>
            <w:r>
              <w:rPr>
                <w:rFonts w:hint="eastAsia" w:cs="Times New Roman"/>
                <w:b/>
                <w:bCs/>
                <w:color w:val="000000"/>
                <w:kern w:val="0"/>
                <w:sz w:val="21"/>
                <w:szCs w:val="21"/>
              </w:rPr>
              <w:t>艺术学理论</w:t>
            </w:r>
          </w:p>
        </w:tc>
        <w:tc>
          <w:tcPr>
            <w:tcW w:w="1113" w:type="dxa"/>
            <w:shd w:val="clear" w:color="auto" w:fill="DAEEF3" w:themeFill="accent5" w:themeFillTint="33"/>
            <w:vAlign w:val="center"/>
          </w:tcPr>
          <w:p>
            <w:pPr>
              <w:widowControl/>
              <w:jc w:val="center"/>
              <w:rPr>
                <w:rFonts w:cs="Times New Roman"/>
                <w:color w:val="000000"/>
                <w:kern w:val="0"/>
                <w:sz w:val="21"/>
                <w:szCs w:val="21"/>
              </w:rPr>
            </w:pPr>
            <w:r>
              <w:rPr>
                <w:rFonts w:hint="eastAsia" w:cs="Times New Roman"/>
                <w:color w:val="000000"/>
                <w:kern w:val="0"/>
                <w:sz w:val="21"/>
                <w:szCs w:val="21"/>
              </w:rPr>
              <w:t>期望首选</w:t>
            </w:r>
          </w:p>
        </w:tc>
        <w:tc>
          <w:tcPr>
            <w:tcW w:w="756"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75.00</w:t>
            </w:r>
          </w:p>
        </w:tc>
        <w:tc>
          <w:tcPr>
            <w:tcW w:w="1131"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50"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25.00</w:t>
            </w:r>
          </w:p>
        </w:tc>
        <w:tc>
          <w:tcPr>
            <w:tcW w:w="1160"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969" w:type="dxa"/>
            <w:vMerge w:val="continue"/>
            <w:vAlign w:val="center"/>
          </w:tcPr>
          <w:p>
            <w:pPr>
              <w:widowControl/>
              <w:jc w:val="left"/>
              <w:rPr>
                <w:rFonts w:cs="Times New Roman"/>
                <w:b/>
                <w:bCs/>
                <w:color w:val="000000"/>
                <w:kern w:val="0"/>
                <w:sz w:val="21"/>
                <w:szCs w:val="21"/>
              </w:rPr>
            </w:pPr>
          </w:p>
        </w:tc>
        <w:tc>
          <w:tcPr>
            <w:tcW w:w="1113" w:type="dxa"/>
            <w:vAlign w:val="center"/>
          </w:tcPr>
          <w:p>
            <w:pPr>
              <w:widowControl/>
              <w:jc w:val="center"/>
              <w:rPr>
                <w:rFonts w:cs="Times New Roman"/>
                <w:color w:val="000000"/>
                <w:kern w:val="0"/>
                <w:sz w:val="21"/>
                <w:szCs w:val="21"/>
              </w:rPr>
            </w:pPr>
            <w:r>
              <w:rPr>
                <w:rFonts w:hint="eastAsia" w:cs="Times New Roman"/>
                <w:color w:val="000000"/>
                <w:kern w:val="0"/>
                <w:sz w:val="21"/>
                <w:szCs w:val="21"/>
              </w:rPr>
              <w:t>最终落实</w:t>
            </w:r>
          </w:p>
        </w:tc>
        <w:tc>
          <w:tcPr>
            <w:tcW w:w="756"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75.00</w:t>
            </w:r>
          </w:p>
        </w:tc>
        <w:tc>
          <w:tcPr>
            <w:tcW w:w="1131"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25.00</w:t>
            </w:r>
          </w:p>
        </w:tc>
        <w:tc>
          <w:tcPr>
            <w:tcW w:w="1150"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c>
          <w:tcPr>
            <w:tcW w:w="1160"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w:t>
            </w:r>
          </w:p>
        </w:tc>
      </w:tr>
    </w:tbl>
    <w:p>
      <w:pPr>
        <w:pStyle w:val="123"/>
        <w:ind w:firstLine="482"/>
      </w:pPr>
      <w:bookmarkStart w:id="338" w:name="_Toc486857520"/>
      <w:r>
        <w:rPr>
          <w:rFonts w:hint="eastAsia"/>
          <w:b/>
        </w:rPr>
        <w:t>与2016届</w:t>
      </w:r>
      <w:r>
        <w:rPr>
          <w:b/>
        </w:rPr>
        <w:t>相比，</w:t>
      </w:r>
      <w:r>
        <w:rPr>
          <w:rFonts w:hint="eastAsia"/>
        </w:rPr>
        <w:t>2017届落实在</w:t>
      </w:r>
      <w:r>
        <w:t>北京工作的</w:t>
      </w:r>
      <w:r>
        <w:rPr>
          <w:rFonts w:hint="eastAsia"/>
        </w:rPr>
        <w:t>研究</w:t>
      </w:r>
      <w:r>
        <w:t>生比例有</w:t>
      </w:r>
      <w:r>
        <w:rPr>
          <w:rFonts w:hint="eastAsia"/>
        </w:rPr>
        <w:t>所下降。</w:t>
      </w:r>
      <w:r>
        <w:t>从</w:t>
      </w:r>
      <w:r>
        <w:rPr>
          <w:rFonts w:hint="eastAsia"/>
        </w:rPr>
        <w:t>地理</w:t>
      </w:r>
      <w:r>
        <w:t>位置看，</w:t>
      </w:r>
      <w:r>
        <w:rPr>
          <w:rFonts w:hint="eastAsia"/>
        </w:rPr>
        <w:t>2017届</w:t>
      </w:r>
      <w:r>
        <w:t>京外就业</w:t>
      </w:r>
      <w:r>
        <w:rPr>
          <w:rFonts w:hint="eastAsia"/>
        </w:rPr>
        <w:t>的研究</w:t>
      </w:r>
      <w:r>
        <w:t>生落实在东部</w:t>
      </w:r>
      <w:r>
        <w:rPr>
          <w:rFonts w:hint="eastAsia"/>
        </w:rPr>
        <w:t>及</w:t>
      </w:r>
      <w:r>
        <w:t>西部</w:t>
      </w:r>
      <w:r>
        <w:rPr>
          <w:rFonts w:hint="eastAsia"/>
        </w:rPr>
        <w:t>的</w:t>
      </w:r>
      <w:r>
        <w:t>比例有所</w:t>
      </w:r>
      <w:r>
        <w:rPr>
          <w:rFonts w:hint="eastAsia"/>
        </w:rPr>
        <w:t>增加</w:t>
      </w:r>
      <w:r>
        <w:t>，而落实在</w:t>
      </w:r>
      <w:r>
        <w:rPr>
          <w:rFonts w:hint="eastAsia"/>
        </w:rPr>
        <w:t>中部</w:t>
      </w:r>
      <w:r>
        <w:t>地区的比例有所</w:t>
      </w:r>
      <w:r>
        <w:rPr>
          <w:rFonts w:hint="eastAsia"/>
        </w:rPr>
        <w:t>下降</w:t>
      </w:r>
      <w:r>
        <w:t>。</w:t>
      </w:r>
      <w:r>
        <w:rPr>
          <w:rFonts w:hint="eastAsia"/>
        </w:rPr>
        <w:t>从期望与实际的差异来看，2017届研究生</w:t>
      </w:r>
      <w:r>
        <w:t>期望在</w:t>
      </w:r>
      <w:r>
        <w:rPr>
          <w:rFonts w:hint="eastAsia"/>
        </w:rPr>
        <w:t>北京及</w:t>
      </w:r>
      <w:r>
        <w:t>西部地区</w:t>
      </w:r>
      <w:r>
        <w:rPr>
          <w:rFonts w:hint="eastAsia"/>
        </w:rPr>
        <w:t>就业</w:t>
      </w:r>
      <w:r>
        <w:t>的比例有所</w:t>
      </w:r>
      <w:r>
        <w:rPr>
          <w:rFonts w:hint="eastAsia"/>
        </w:rPr>
        <w:t>下降，而</w:t>
      </w:r>
      <w:r>
        <w:t>期望在东部以及中部地区就业的比例有所</w:t>
      </w:r>
      <w:r>
        <w:rPr>
          <w:rFonts w:hint="eastAsia"/>
        </w:rPr>
        <w:t>升高</w:t>
      </w:r>
      <w:r>
        <w:t>。</w:t>
      </w:r>
    </w:p>
    <w:p>
      <w:pPr>
        <w:jc w:val="center"/>
      </w:pPr>
      <w:r>
        <w:drawing>
          <wp:inline distT="0" distB="0" distL="0" distR="0">
            <wp:extent cx="5274310" cy="2875915"/>
            <wp:effectExtent l="0" t="0" r="0" b="0"/>
            <wp:docPr id="397" name="图表 3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pPr>
        <w:pStyle w:val="107"/>
        <w:spacing w:before="156" w:after="312"/>
      </w:pPr>
      <w:r>
        <w:rPr>
          <w:rFonts w:hint="eastAsia"/>
        </w:rPr>
        <w:t>2016年</w:t>
      </w:r>
      <w:r>
        <w:t>与</w:t>
      </w:r>
      <w:r>
        <w:rPr>
          <w:rFonts w:hint="eastAsia"/>
        </w:rPr>
        <w:t>2017年研究</w:t>
      </w:r>
      <w:r>
        <w:t>生</w:t>
      </w:r>
      <w:r>
        <w:rPr>
          <w:rFonts w:hint="eastAsia"/>
        </w:rPr>
        <w:t>期望首选与最终落实就业地区比较</w:t>
      </w:r>
    </w:p>
    <w:p>
      <w:pPr>
        <w:pStyle w:val="67"/>
        <w:spacing w:before="156" w:after="156"/>
        <w:ind w:left="240"/>
      </w:pPr>
      <w:r>
        <w:t>2</w:t>
      </w:r>
      <w:r>
        <w:rPr>
          <w:rFonts w:hint="eastAsia"/>
        </w:rPr>
        <w:t>.就业城市类型</w:t>
      </w:r>
      <w:bookmarkEnd w:id="338"/>
    </w:p>
    <w:p>
      <w:pPr>
        <w:pStyle w:val="123"/>
        <w:ind w:firstLine="480"/>
      </w:pPr>
      <w:bookmarkStart w:id="339" w:name="PO_33221"/>
      <w:bookmarkEnd w:id="339"/>
      <w:r>
        <w:rPr>
          <w:rFonts w:hint="eastAsia"/>
        </w:rPr>
        <w:t>调查显示，就城市类型而言，研究生就业城市类型比例最高的为直辖市（90.00%），其次为副省级城市（6.67%）。也就是说大部分研究生更倾向在经济发展水平较高且工作机会更多的直辖市工作，但也有的学生最终未能如愿。</w:t>
      </w:r>
    </w:p>
    <w:p>
      <w:pPr>
        <w:jc w:val="center"/>
      </w:pPr>
      <w:bookmarkStart w:id="340" w:name="PO_33222"/>
      <w:bookmarkEnd w:id="340"/>
      <w:r>
        <w:drawing>
          <wp:inline distT="0" distB="0" distL="0" distR="0">
            <wp:extent cx="5274310" cy="2875915"/>
            <wp:effectExtent l="19050" t="0" r="21590" b="557"/>
            <wp:docPr id="385" name="图表 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pPr>
        <w:pStyle w:val="107"/>
        <w:spacing w:before="156" w:after="312"/>
      </w:pPr>
      <w:r>
        <w:rPr>
          <w:rFonts w:hint="eastAsia"/>
        </w:rPr>
        <w:t>期望首选与最终落实就业城市类型</w:t>
      </w:r>
    </w:p>
    <w:p>
      <w:pPr>
        <w:pStyle w:val="41"/>
        <w:ind w:firstLine="480"/>
      </w:pPr>
    </w:p>
    <w:p>
      <w:pPr>
        <w:pStyle w:val="67"/>
        <w:spacing w:before="156" w:after="156"/>
        <w:ind w:left="240"/>
      </w:pPr>
      <w:bookmarkStart w:id="341" w:name="_Toc486857521"/>
      <w:r>
        <w:t>3</w:t>
      </w:r>
      <w:r>
        <w:rPr>
          <w:rFonts w:hint="eastAsia"/>
        </w:rPr>
        <w:t>.</w:t>
      </w:r>
      <w:r>
        <w:t>单位类型</w:t>
      </w:r>
      <w:bookmarkEnd w:id="341"/>
    </w:p>
    <w:p>
      <w:pPr>
        <w:pStyle w:val="123"/>
        <w:ind w:firstLine="480"/>
      </w:pPr>
      <w:bookmarkStart w:id="342" w:name="PO_33231"/>
      <w:bookmarkEnd w:id="342"/>
      <w:r>
        <w:rPr>
          <w:rFonts w:hint="eastAsia"/>
        </w:rPr>
        <w:t>调查显示，研究生最终落实的三个主要就业单位类型依次为：事业单位（55.00%）、民营/私营企业（28.33%）、国有企业（8.33%）。从就业期望看，分别有5.00%、5.00%的研究生期望在机关、事业单位工作而未能如愿。</w:t>
      </w:r>
    </w:p>
    <w:p>
      <w:pPr>
        <w:jc w:val="center"/>
      </w:pPr>
      <w:bookmarkStart w:id="343" w:name="PO_33232"/>
      <w:bookmarkEnd w:id="343"/>
      <w:r>
        <w:drawing>
          <wp:inline distT="0" distB="0" distL="0" distR="0">
            <wp:extent cx="5274310" cy="2875915"/>
            <wp:effectExtent l="19050" t="0" r="21590" b="557"/>
            <wp:docPr id="386" name="图表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pPr>
        <w:pStyle w:val="107"/>
        <w:spacing w:before="156" w:after="312"/>
      </w:pPr>
      <w:r>
        <w:rPr>
          <w:rFonts w:hint="eastAsia"/>
        </w:rPr>
        <w:t>期望首选与最终落实就业单位类型</w:t>
      </w:r>
    </w:p>
    <w:p>
      <w:pPr>
        <w:pStyle w:val="123"/>
        <w:ind w:firstLine="482"/>
      </w:pPr>
      <w:r>
        <w:rPr>
          <w:rFonts w:hint="eastAsia"/>
          <w:b/>
        </w:rPr>
        <w:t>就专业而言</w:t>
      </w:r>
      <w:r>
        <w:rPr>
          <w:rFonts w:hint="eastAsia"/>
        </w:rPr>
        <w:t>，戏剧与影视学硕士生最终落实在事业单位比例最高；艺术学理论硕士生落实在民营/私营企业的比例最高。戏剧与影视学博士生最终落实在事业单位比例最高。</w:t>
      </w:r>
    </w:p>
    <w:p>
      <w:pPr>
        <w:pStyle w:val="55"/>
        <w:spacing w:before="312" w:after="156"/>
      </w:pPr>
      <w:r>
        <w:rPr>
          <w:rFonts w:hint="eastAsia"/>
        </w:rPr>
        <w:t>不同专业硕士生期望首选与最终落实就业单位类型（%）</w:t>
      </w:r>
    </w:p>
    <w:tbl>
      <w:tblPr>
        <w:tblStyle w:val="125"/>
        <w:tblW w:w="9364" w:type="dxa"/>
        <w:jc w:val="center"/>
        <w:tblInd w:w="0"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2397"/>
        <w:gridCol w:w="1147"/>
        <w:gridCol w:w="758"/>
        <w:gridCol w:w="1013"/>
        <w:gridCol w:w="1013"/>
        <w:gridCol w:w="1013"/>
        <w:gridCol w:w="1010"/>
        <w:gridCol w:w="1013"/>
      </w:tblGrid>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555" w:hRule="atLeast"/>
          <w:jc w:val="center"/>
        </w:trPr>
        <w:tc>
          <w:tcPr>
            <w:tcW w:w="2397" w:type="dxa"/>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专业</w:t>
            </w:r>
          </w:p>
        </w:tc>
        <w:tc>
          <w:tcPr>
            <w:tcW w:w="1147"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类别</w:t>
            </w:r>
          </w:p>
        </w:tc>
        <w:tc>
          <w:tcPr>
            <w:tcW w:w="758"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机关</w:t>
            </w:r>
          </w:p>
        </w:tc>
        <w:tc>
          <w:tcPr>
            <w:tcW w:w="1013"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事业单位</w:t>
            </w:r>
          </w:p>
        </w:tc>
        <w:tc>
          <w:tcPr>
            <w:tcW w:w="1013"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国有企业</w:t>
            </w:r>
          </w:p>
        </w:tc>
        <w:tc>
          <w:tcPr>
            <w:tcW w:w="1013"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三资企业</w:t>
            </w:r>
          </w:p>
        </w:tc>
        <w:tc>
          <w:tcPr>
            <w:tcW w:w="1010"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民营</w:t>
            </w:r>
            <w:r>
              <w:rPr>
                <w:rFonts w:ascii="等线" w:hAnsi="等线" w:eastAsia="等线" w:cs="宋体"/>
                <w:b/>
                <w:bCs/>
                <w:color w:val="FFFFFF" w:themeColor="background1"/>
                <w:kern w:val="0"/>
                <w:sz w:val="21"/>
                <w:szCs w:val="21"/>
              </w:rPr>
              <w:t>/</w:t>
            </w:r>
            <w:r>
              <w:rPr>
                <w:rFonts w:ascii="宋体" w:hAnsi="宋体" w:cs="宋体"/>
                <w:b/>
                <w:bCs/>
                <w:color w:val="FFFFFF" w:themeColor="background1"/>
                <w:kern w:val="0"/>
                <w:sz w:val="21"/>
                <w:szCs w:val="21"/>
              </w:rPr>
              <w:t>私营企业</w:t>
            </w:r>
          </w:p>
        </w:tc>
        <w:tc>
          <w:tcPr>
            <w:tcW w:w="1013" w:type="dxa"/>
            <w:tcBorders>
              <w:top w:val="single" w:color="4BACC6" w:themeColor="accent5" w:sz="4" w:space="0"/>
              <w:bottom w:val="single" w:color="4BACC6" w:themeColor="accent5" w:sz="4" w:space="0"/>
              <w:right w:val="single" w:color="4BACC6" w:themeColor="accent5" w:sz="4" w:space="0"/>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其他</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397" w:type="dxa"/>
            <w:vMerge w:val="restart"/>
            <w:shd w:val="clear" w:color="auto" w:fill="DAEEF3" w:themeFill="accent5" w:themeFillTint="33"/>
            <w:vAlign w:val="center"/>
          </w:tcPr>
          <w:p>
            <w:pPr>
              <w:widowControl/>
              <w:jc w:val="left"/>
              <w:rPr>
                <w:rFonts w:ascii="宋体" w:hAnsi="宋体" w:cs="宋体"/>
                <w:b/>
                <w:bCs/>
                <w:color w:val="000000"/>
                <w:kern w:val="0"/>
                <w:sz w:val="21"/>
                <w:szCs w:val="21"/>
              </w:rPr>
            </w:pPr>
            <w:r>
              <w:rPr>
                <w:rFonts w:hint="eastAsia" w:ascii="宋体" w:hAnsi="宋体" w:cs="宋体"/>
                <w:b/>
                <w:bCs/>
                <w:color w:val="000000"/>
                <w:kern w:val="0"/>
                <w:sz w:val="21"/>
                <w:szCs w:val="21"/>
              </w:rPr>
              <w:t>戏剧</w:t>
            </w:r>
          </w:p>
        </w:tc>
        <w:tc>
          <w:tcPr>
            <w:tcW w:w="1147" w:type="dxa"/>
            <w:shd w:val="clear" w:color="auto" w:fill="DAEEF3" w:themeFill="accent5" w:themeFillTint="33"/>
            <w:vAlign w:val="center"/>
          </w:tcPr>
          <w:p>
            <w:pPr>
              <w:widowControl/>
              <w:jc w:val="center"/>
              <w:rPr>
                <w:rFonts w:cs="宋体"/>
                <w:color w:val="000000"/>
                <w:kern w:val="0"/>
                <w:sz w:val="21"/>
                <w:szCs w:val="21"/>
              </w:rPr>
            </w:pPr>
            <w:r>
              <w:rPr>
                <w:rFonts w:hint="eastAsia" w:cs="宋体"/>
                <w:color w:val="000000"/>
                <w:kern w:val="0"/>
                <w:sz w:val="21"/>
                <w:szCs w:val="21"/>
              </w:rPr>
              <w:t>最终落实</w:t>
            </w:r>
          </w:p>
        </w:tc>
        <w:tc>
          <w:tcPr>
            <w:tcW w:w="758"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6.67</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46.67</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6.67</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0"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33.33</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6.67</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64" w:hRule="atLeast"/>
          <w:jc w:val="center"/>
        </w:trPr>
        <w:tc>
          <w:tcPr>
            <w:tcW w:w="2397" w:type="dxa"/>
            <w:vMerge w:val="continue"/>
            <w:vAlign w:val="center"/>
          </w:tcPr>
          <w:p>
            <w:pPr>
              <w:widowControl/>
              <w:jc w:val="left"/>
              <w:rPr>
                <w:rFonts w:ascii="宋体" w:hAnsi="宋体" w:cs="宋体"/>
                <w:b/>
                <w:bCs/>
                <w:color w:val="000000"/>
                <w:kern w:val="0"/>
                <w:sz w:val="21"/>
                <w:szCs w:val="21"/>
              </w:rPr>
            </w:pPr>
          </w:p>
        </w:tc>
        <w:tc>
          <w:tcPr>
            <w:tcW w:w="1147" w:type="dxa"/>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期望首选</w:t>
            </w:r>
          </w:p>
        </w:tc>
        <w:tc>
          <w:tcPr>
            <w:tcW w:w="758"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40.00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6.67</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0"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26.67</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6.67</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64" w:hRule="atLeast"/>
          <w:jc w:val="center"/>
        </w:trPr>
        <w:tc>
          <w:tcPr>
            <w:tcW w:w="2397" w:type="dxa"/>
            <w:vMerge w:val="restart"/>
            <w:shd w:val="clear" w:color="auto" w:fill="DAEEF3" w:themeFill="accent5" w:themeFillTint="33"/>
            <w:vAlign w:val="center"/>
          </w:tcPr>
          <w:p>
            <w:pPr>
              <w:widowControl/>
              <w:jc w:val="left"/>
              <w:rPr>
                <w:rFonts w:ascii="宋体" w:hAnsi="宋体" w:cs="宋体"/>
                <w:b/>
                <w:bCs/>
                <w:color w:val="000000"/>
                <w:kern w:val="0"/>
                <w:sz w:val="21"/>
                <w:szCs w:val="21"/>
              </w:rPr>
            </w:pPr>
            <w:r>
              <w:rPr>
                <w:rFonts w:hint="eastAsia" w:ascii="宋体" w:hAnsi="宋体" w:cs="宋体"/>
                <w:b/>
                <w:bCs/>
                <w:color w:val="000000"/>
                <w:kern w:val="0"/>
                <w:sz w:val="21"/>
                <w:szCs w:val="21"/>
              </w:rPr>
              <w:t>戏剧与影视学</w:t>
            </w:r>
          </w:p>
        </w:tc>
        <w:tc>
          <w:tcPr>
            <w:tcW w:w="1147" w:type="dxa"/>
            <w:shd w:val="clear" w:color="auto" w:fill="DAEEF3" w:themeFill="accent5" w:themeFillTint="33"/>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最终落实</w:t>
            </w:r>
          </w:p>
        </w:tc>
        <w:tc>
          <w:tcPr>
            <w:tcW w:w="758"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52.00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0"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32.00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4.00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64" w:hRule="atLeast"/>
          <w:jc w:val="center"/>
        </w:trPr>
        <w:tc>
          <w:tcPr>
            <w:tcW w:w="2397" w:type="dxa"/>
            <w:vMerge w:val="continue"/>
            <w:vAlign w:val="center"/>
          </w:tcPr>
          <w:p>
            <w:pPr>
              <w:widowControl/>
              <w:jc w:val="left"/>
              <w:rPr>
                <w:rFonts w:ascii="宋体" w:hAnsi="宋体" w:cs="宋体"/>
                <w:b/>
                <w:bCs/>
                <w:color w:val="000000"/>
                <w:kern w:val="0"/>
                <w:sz w:val="21"/>
                <w:szCs w:val="21"/>
              </w:rPr>
            </w:pPr>
          </w:p>
        </w:tc>
        <w:tc>
          <w:tcPr>
            <w:tcW w:w="1147" w:type="dxa"/>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期望首选</w:t>
            </w:r>
          </w:p>
        </w:tc>
        <w:tc>
          <w:tcPr>
            <w:tcW w:w="758"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4.00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16.00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0"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64" w:hRule="atLeast"/>
          <w:jc w:val="center"/>
        </w:trPr>
        <w:tc>
          <w:tcPr>
            <w:tcW w:w="2397" w:type="dxa"/>
            <w:vMerge w:val="restart"/>
            <w:shd w:val="clear" w:color="auto" w:fill="DAEEF3" w:themeFill="accent5" w:themeFillTint="33"/>
            <w:vAlign w:val="center"/>
          </w:tcPr>
          <w:p>
            <w:pPr>
              <w:widowControl/>
              <w:jc w:val="left"/>
              <w:rPr>
                <w:rFonts w:ascii="宋体" w:hAnsi="宋体" w:cs="宋体"/>
                <w:b/>
                <w:bCs/>
                <w:color w:val="000000"/>
                <w:kern w:val="0"/>
                <w:sz w:val="21"/>
                <w:szCs w:val="21"/>
              </w:rPr>
            </w:pPr>
            <w:r>
              <w:rPr>
                <w:rFonts w:hint="eastAsia" w:ascii="宋体" w:hAnsi="宋体" w:cs="宋体"/>
                <w:b/>
                <w:bCs/>
                <w:color w:val="000000"/>
                <w:kern w:val="0"/>
                <w:sz w:val="21"/>
                <w:szCs w:val="21"/>
              </w:rPr>
              <w:t>艺术学理论</w:t>
            </w:r>
          </w:p>
        </w:tc>
        <w:tc>
          <w:tcPr>
            <w:tcW w:w="1147" w:type="dxa"/>
            <w:shd w:val="clear" w:color="auto" w:fill="DAEEF3" w:themeFill="accent5" w:themeFillTint="33"/>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最终落实</w:t>
            </w:r>
          </w:p>
        </w:tc>
        <w:tc>
          <w:tcPr>
            <w:tcW w:w="758"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33.33</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16.67</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0"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50.00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64" w:hRule="atLeast"/>
          <w:jc w:val="center"/>
        </w:trPr>
        <w:tc>
          <w:tcPr>
            <w:tcW w:w="2397" w:type="dxa"/>
            <w:vMerge w:val="continue"/>
            <w:vAlign w:val="center"/>
          </w:tcPr>
          <w:p>
            <w:pPr>
              <w:widowControl/>
              <w:jc w:val="left"/>
              <w:rPr>
                <w:rFonts w:ascii="宋体" w:hAnsi="宋体" w:cs="宋体"/>
                <w:b/>
                <w:bCs/>
                <w:color w:val="000000"/>
                <w:kern w:val="0"/>
                <w:sz w:val="21"/>
                <w:szCs w:val="21"/>
              </w:rPr>
            </w:pPr>
          </w:p>
        </w:tc>
        <w:tc>
          <w:tcPr>
            <w:tcW w:w="1147" w:type="dxa"/>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期望首选</w:t>
            </w:r>
          </w:p>
        </w:tc>
        <w:tc>
          <w:tcPr>
            <w:tcW w:w="758"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0"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r>
    </w:tbl>
    <w:p/>
    <w:p>
      <w:pPr>
        <w:pStyle w:val="55"/>
        <w:spacing w:before="312" w:after="156"/>
      </w:pPr>
      <w:r>
        <w:rPr>
          <w:rFonts w:hint="eastAsia"/>
        </w:rPr>
        <w:t>不同专业博士生期望首选与最终落实就业单位类型（%）</w:t>
      </w:r>
    </w:p>
    <w:tbl>
      <w:tblPr>
        <w:tblStyle w:val="125"/>
        <w:tblW w:w="9364" w:type="dxa"/>
        <w:jc w:val="center"/>
        <w:tblInd w:w="0"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2397"/>
        <w:gridCol w:w="1147"/>
        <w:gridCol w:w="758"/>
        <w:gridCol w:w="1013"/>
        <w:gridCol w:w="1013"/>
        <w:gridCol w:w="1013"/>
        <w:gridCol w:w="1010"/>
        <w:gridCol w:w="1013"/>
      </w:tblGrid>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555" w:hRule="atLeast"/>
          <w:jc w:val="center"/>
        </w:trPr>
        <w:tc>
          <w:tcPr>
            <w:tcW w:w="2397" w:type="dxa"/>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专业</w:t>
            </w:r>
          </w:p>
        </w:tc>
        <w:tc>
          <w:tcPr>
            <w:tcW w:w="1147"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类别</w:t>
            </w:r>
          </w:p>
        </w:tc>
        <w:tc>
          <w:tcPr>
            <w:tcW w:w="758"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机关</w:t>
            </w:r>
          </w:p>
        </w:tc>
        <w:tc>
          <w:tcPr>
            <w:tcW w:w="1013"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事业单位</w:t>
            </w:r>
          </w:p>
        </w:tc>
        <w:tc>
          <w:tcPr>
            <w:tcW w:w="1013"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国有企业</w:t>
            </w:r>
          </w:p>
        </w:tc>
        <w:tc>
          <w:tcPr>
            <w:tcW w:w="1013"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三资企业</w:t>
            </w:r>
          </w:p>
        </w:tc>
        <w:tc>
          <w:tcPr>
            <w:tcW w:w="1010"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民营</w:t>
            </w:r>
            <w:r>
              <w:rPr>
                <w:rFonts w:ascii="等线" w:hAnsi="等线" w:eastAsia="等线" w:cs="宋体"/>
                <w:b/>
                <w:bCs/>
                <w:color w:val="FFFFFF" w:themeColor="background1"/>
                <w:kern w:val="0"/>
                <w:sz w:val="21"/>
                <w:szCs w:val="21"/>
              </w:rPr>
              <w:t>/</w:t>
            </w:r>
            <w:r>
              <w:rPr>
                <w:rFonts w:ascii="宋体" w:hAnsi="宋体" w:cs="宋体"/>
                <w:b/>
                <w:bCs/>
                <w:color w:val="FFFFFF" w:themeColor="background1"/>
                <w:kern w:val="0"/>
                <w:sz w:val="21"/>
                <w:szCs w:val="21"/>
              </w:rPr>
              <w:t>私营企业</w:t>
            </w:r>
          </w:p>
        </w:tc>
        <w:tc>
          <w:tcPr>
            <w:tcW w:w="1013" w:type="dxa"/>
            <w:tcBorders>
              <w:top w:val="single" w:color="4BACC6" w:themeColor="accent5" w:sz="4" w:space="0"/>
              <w:bottom w:val="single" w:color="4BACC6" w:themeColor="accent5" w:sz="4" w:space="0"/>
              <w:right w:val="single" w:color="4BACC6" w:themeColor="accent5" w:sz="4" w:space="0"/>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其他</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300" w:hRule="atLeast"/>
          <w:jc w:val="center"/>
        </w:trPr>
        <w:tc>
          <w:tcPr>
            <w:tcW w:w="2397" w:type="dxa"/>
            <w:vMerge w:val="restart"/>
            <w:shd w:val="clear" w:color="auto" w:fill="DAEEF3" w:themeFill="accent5" w:themeFillTint="33"/>
            <w:vAlign w:val="center"/>
          </w:tcPr>
          <w:p>
            <w:pPr>
              <w:widowControl/>
              <w:jc w:val="left"/>
              <w:rPr>
                <w:rFonts w:ascii="宋体" w:hAnsi="宋体" w:cs="宋体"/>
                <w:b/>
                <w:bCs/>
                <w:color w:val="000000"/>
                <w:kern w:val="0"/>
                <w:sz w:val="21"/>
                <w:szCs w:val="21"/>
              </w:rPr>
            </w:pPr>
            <w:r>
              <w:rPr>
                <w:rFonts w:hint="eastAsia" w:ascii="宋体" w:hAnsi="宋体" w:cs="宋体"/>
                <w:b/>
                <w:bCs/>
                <w:color w:val="000000"/>
                <w:kern w:val="0"/>
                <w:sz w:val="21"/>
                <w:szCs w:val="21"/>
              </w:rPr>
              <w:t>戏剧与影视学</w:t>
            </w:r>
          </w:p>
        </w:tc>
        <w:tc>
          <w:tcPr>
            <w:tcW w:w="1147" w:type="dxa"/>
            <w:shd w:val="clear" w:color="auto" w:fill="DAEEF3" w:themeFill="accent5" w:themeFillTint="33"/>
            <w:vAlign w:val="center"/>
          </w:tcPr>
          <w:p>
            <w:pPr>
              <w:widowControl/>
              <w:jc w:val="center"/>
              <w:rPr>
                <w:rFonts w:cs="宋体"/>
                <w:color w:val="000000"/>
                <w:kern w:val="0"/>
                <w:sz w:val="21"/>
                <w:szCs w:val="21"/>
              </w:rPr>
            </w:pPr>
            <w:r>
              <w:rPr>
                <w:rFonts w:hint="eastAsia" w:cs="宋体"/>
                <w:color w:val="000000"/>
                <w:kern w:val="0"/>
                <w:sz w:val="21"/>
                <w:szCs w:val="21"/>
              </w:rPr>
              <w:t>最终落实</w:t>
            </w:r>
          </w:p>
        </w:tc>
        <w:tc>
          <w:tcPr>
            <w:tcW w:w="758"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80.00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0"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64" w:hRule="atLeast"/>
          <w:jc w:val="center"/>
        </w:trPr>
        <w:tc>
          <w:tcPr>
            <w:tcW w:w="2397" w:type="dxa"/>
            <w:vMerge w:val="continue"/>
            <w:vAlign w:val="center"/>
          </w:tcPr>
          <w:p>
            <w:pPr>
              <w:widowControl/>
              <w:jc w:val="left"/>
              <w:rPr>
                <w:rFonts w:ascii="宋体" w:hAnsi="宋体" w:cs="宋体"/>
                <w:b/>
                <w:bCs/>
                <w:color w:val="000000"/>
                <w:kern w:val="0"/>
                <w:sz w:val="21"/>
                <w:szCs w:val="21"/>
              </w:rPr>
            </w:pPr>
          </w:p>
        </w:tc>
        <w:tc>
          <w:tcPr>
            <w:tcW w:w="1147" w:type="dxa"/>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期望首选</w:t>
            </w:r>
          </w:p>
        </w:tc>
        <w:tc>
          <w:tcPr>
            <w:tcW w:w="758"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90.00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0"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64" w:hRule="atLeast"/>
          <w:jc w:val="center"/>
        </w:trPr>
        <w:tc>
          <w:tcPr>
            <w:tcW w:w="2397" w:type="dxa"/>
            <w:vMerge w:val="restart"/>
            <w:shd w:val="clear" w:color="auto" w:fill="DAEEF3" w:themeFill="accent5" w:themeFillTint="33"/>
            <w:vAlign w:val="center"/>
          </w:tcPr>
          <w:p>
            <w:pPr>
              <w:widowControl/>
              <w:jc w:val="left"/>
              <w:rPr>
                <w:rFonts w:ascii="宋体" w:hAnsi="宋体" w:cs="宋体"/>
                <w:b/>
                <w:bCs/>
                <w:color w:val="000000"/>
                <w:kern w:val="0"/>
                <w:sz w:val="21"/>
                <w:szCs w:val="21"/>
              </w:rPr>
            </w:pPr>
            <w:r>
              <w:rPr>
                <w:rFonts w:hint="eastAsia" w:ascii="宋体" w:hAnsi="宋体" w:cs="宋体"/>
                <w:b/>
                <w:bCs/>
                <w:color w:val="000000"/>
                <w:kern w:val="0"/>
                <w:sz w:val="21"/>
                <w:szCs w:val="21"/>
              </w:rPr>
              <w:t>艺术学理论</w:t>
            </w:r>
          </w:p>
        </w:tc>
        <w:tc>
          <w:tcPr>
            <w:tcW w:w="1147" w:type="dxa"/>
            <w:shd w:val="clear" w:color="auto" w:fill="DAEEF3" w:themeFill="accent5" w:themeFillTint="33"/>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最终落实</w:t>
            </w:r>
          </w:p>
        </w:tc>
        <w:tc>
          <w:tcPr>
            <w:tcW w:w="758"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25.00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75.00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0"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64" w:hRule="atLeast"/>
          <w:jc w:val="center"/>
        </w:trPr>
        <w:tc>
          <w:tcPr>
            <w:tcW w:w="2397" w:type="dxa"/>
            <w:vMerge w:val="continue"/>
            <w:vAlign w:val="center"/>
          </w:tcPr>
          <w:p>
            <w:pPr>
              <w:widowControl/>
              <w:jc w:val="left"/>
              <w:rPr>
                <w:rFonts w:ascii="宋体" w:hAnsi="宋体" w:cs="宋体"/>
                <w:b/>
                <w:bCs/>
                <w:color w:val="000000"/>
                <w:kern w:val="0"/>
                <w:sz w:val="21"/>
                <w:szCs w:val="21"/>
              </w:rPr>
            </w:pPr>
          </w:p>
        </w:tc>
        <w:tc>
          <w:tcPr>
            <w:tcW w:w="1147" w:type="dxa"/>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期望首选</w:t>
            </w:r>
          </w:p>
        </w:tc>
        <w:tc>
          <w:tcPr>
            <w:tcW w:w="758"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25.00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75.00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0"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01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r>
    </w:tbl>
    <w:p/>
    <w:p>
      <w:pPr>
        <w:pStyle w:val="67"/>
        <w:spacing w:before="156" w:after="156"/>
        <w:ind w:left="240"/>
      </w:pPr>
      <w:bookmarkStart w:id="344" w:name="_Toc486857522"/>
      <w:r>
        <w:t>4</w:t>
      </w:r>
      <w:r>
        <w:rPr>
          <w:rFonts w:hint="eastAsia"/>
        </w:rPr>
        <w:t>.就业行业</w:t>
      </w:r>
      <w:bookmarkEnd w:id="344"/>
    </w:p>
    <w:p>
      <w:pPr>
        <w:pStyle w:val="123"/>
        <w:ind w:firstLine="480"/>
      </w:pPr>
      <w:bookmarkStart w:id="345" w:name="PO_33241"/>
      <w:bookmarkEnd w:id="345"/>
      <w:r>
        <w:rPr>
          <w:rFonts w:hint="eastAsia"/>
        </w:rPr>
        <w:t>总体而言，研究生最终落实的三个主要就业行业为：文化、体育和娱乐业（58.33%）、教育及科研行业（33.33%）、信息产业（3.33%）。从研究生的期望看，有13.33%的研究生期望在“文化、体育和娱乐业”工作而未能如愿。</w:t>
      </w:r>
    </w:p>
    <w:p>
      <w:pPr>
        <w:jc w:val="center"/>
      </w:pPr>
      <w:bookmarkStart w:id="346" w:name="PO_33242"/>
      <w:bookmarkEnd w:id="346"/>
      <w:r>
        <w:drawing>
          <wp:inline distT="0" distB="0" distL="0" distR="0">
            <wp:extent cx="5274310" cy="2875915"/>
            <wp:effectExtent l="19050" t="0" r="21590" b="557"/>
            <wp:docPr id="387" name="图表 3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pPr>
        <w:pStyle w:val="107"/>
        <w:spacing w:before="156" w:after="312"/>
      </w:pPr>
      <w:r>
        <w:rPr>
          <w:rFonts w:hint="eastAsia"/>
        </w:rPr>
        <w:t>期望首选与最终落实就业行业</w:t>
      </w:r>
    </w:p>
    <w:p>
      <w:pPr>
        <w:pStyle w:val="123"/>
        <w:ind w:firstLine="482"/>
      </w:pPr>
      <w:bookmarkStart w:id="347" w:name="_Toc486857523"/>
      <w:r>
        <w:rPr>
          <w:rFonts w:hint="eastAsia"/>
          <w:b/>
        </w:rPr>
        <w:t>就专业而言</w:t>
      </w:r>
      <w:r>
        <w:rPr>
          <w:rFonts w:hint="eastAsia"/>
        </w:rPr>
        <w:t>，</w:t>
      </w:r>
      <w:bookmarkStart w:id="348" w:name="PO_33244"/>
      <w:bookmarkEnd w:id="348"/>
      <w:r>
        <w:rPr>
          <w:rFonts w:hint="eastAsia"/>
        </w:rPr>
        <w:t>戏剧与影视学硕士生最终落实在文化、体育和娱乐业比例最高；戏剧硕士生落实在教育及科研行业比例最高。戏剧与影视学博士生最终落实在教育及科研行业比例最高；艺术学理论落实在文化、体育和娱乐业比例最高。</w:t>
      </w:r>
    </w:p>
    <w:p>
      <w:pPr>
        <w:pStyle w:val="55"/>
        <w:spacing w:before="312" w:after="156"/>
      </w:pPr>
      <w:bookmarkStart w:id="349" w:name="PO_33246"/>
      <w:bookmarkEnd w:id="349"/>
      <w:bookmarkStart w:id="350" w:name="PO_33245"/>
      <w:bookmarkEnd w:id="350"/>
      <w:r>
        <w:rPr>
          <w:rFonts w:hint="eastAsia"/>
        </w:rPr>
        <w:t>不同专业硕士生期望首选与最终落实就业行业（%）</w:t>
      </w:r>
    </w:p>
    <w:tbl>
      <w:tblPr>
        <w:tblStyle w:val="125"/>
        <w:tblW w:w="9012" w:type="dxa"/>
        <w:jc w:val="center"/>
        <w:tblInd w:w="-970"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1497"/>
        <w:gridCol w:w="1273"/>
        <w:gridCol w:w="1133"/>
        <w:gridCol w:w="992"/>
        <w:gridCol w:w="888"/>
        <w:gridCol w:w="1275"/>
        <w:gridCol w:w="1265"/>
        <w:gridCol w:w="689"/>
      </w:tblGrid>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664" w:hRule="atLeast"/>
          <w:jc w:val="center"/>
        </w:trPr>
        <w:tc>
          <w:tcPr>
            <w:tcW w:w="1497" w:type="dxa"/>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000000"/>
                <w:kern w:val="0"/>
                <w:sz w:val="21"/>
                <w:szCs w:val="21"/>
              </w:rPr>
            </w:pPr>
            <w:r>
              <w:rPr>
                <w:rFonts w:hint="eastAsia" w:ascii="宋体" w:hAnsi="宋体" w:cs="宋体"/>
                <w:b/>
                <w:bCs/>
                <w:color w:val="FFFFFF" w:themeColor="background1"/>
                <w:kern w:val="0"/>
                <w:sz w:val="21"/>
                <w:szCs w:val="21"/>
              </w:rPr>
              <w:t>专业</w:t>
            </w:r>
          </w:p>
        </w:tc>
        <w:tc>
          <w:tcPr>
            <w:tcW w:w="1273"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类别</w:t>
            </w:r>
          </w:p>
        </w:tc>
        <w:tc>
          <w:tcPr>
            <w:tcW w:w="1133"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农、林、牧、渔业</w:t>
            </w:r>
          </w:p>
        </w:tc>
        <w:tc>
          <w:tcPr>
            <w:tcW w:w="992"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信息产业</w:t>
            </w:r>
          </w:p>
        </w:tc>
        <w:tc>
          <w:tcPr>
            <w:tcW w:w="888"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金融地产业</w:t>
            </w:r>
          </w:p>
        </w:tc>
        <w:tc>
          <w:tcPr>
            <w:tcW w:w="1275"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教育及科研行业</w:t>
            </w:r>
          </w:p>
        </w:tc>
        <w:tc>
          <w:tcPr>
            <w:tcW w:w="1265"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文化、体育和娱乐业</w:t>
            </w:r>
          </w:p>
        </w:tc>
        <w:tc>
          <w:tcPr>
            <w:tcW w:w="689" w:type="dxa"/>
            <w:tcBorders>
              <w:top w:val="single" w:color="4BACC6" w:themeColor="accent5" w:sz="4" w:space="0"/>
              <w:bottom w:val="single" w:color="4BACC6" w:themeColor="accent5" w:sz="4" w:space="0"/>
              <w:right w:val="single" w:color="4BACC6" w:themeColor="accent5" w:sz="4" w:space="0"/>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其他行业</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8" w:hRule="atLeast"/>
          <w:jc w:val="center"/>
        </w:trPr>
        <w:tc>
          <w:tcPr>
            <w:tcW w:w="1497" w:type="dxa"/>
            <w:vMerge w:val="restart"/>
            <w:shd w:val="clear" w:color="auto" w:fill="DAEEF3" w:themeFill="accent5" w:themeFillTint="33"/>
            <w:vAlign w:val="center"/>
          </w:tcPr>
          <w:p>
            <w:pPr>
              <w:widowControl/>
              <w:jc w:val="left"/>
              <w:rPr>
                <w:rFonts w:ascii="宋体" w:hAnsi="宋体" w:cs="宋体"/>
                <w:b/>
                <w:bCs/>
                <w:color w:val="000000"/>
                <w:kern w:val="0"/>
                <w:sz w:val="21"/>
                <w:szCs w:val="21"/>
              </w:rPr>
            </w:pPr>
            <w:r>
              <w:rPr>
                <w:rFonts w:hint="eastAsia" w:ascii="宋体" w:hAnsi="宋体" w:cs="宋体"/>
                <w:b/>
                <w:bCs/>
                <w:color w:val="000000"/>
                <w:kern w:val="0"/>
                <w:sz w:val="21"/>
                <w:szCs w:val="21"/>
              </w:rPr>
              <w:t>戏剧</w:t>
            </w:r>
          </w:p>
        </w:tc>
        <w:tc>
          <w:tcPr>
            <w:tcW w:w="1273" w:type="dxa"/>
            <w:shd w:val="clear" w:color="auto" w:fill="DAEEF3" w:themeFill="accent5" w:themeFillTint="33"/>
            <w:vAlign w:val="center"/>
          </w:tcPr>
          <w:p>
            <w:pPr>
              <w:widowControl/>
              <w:jc w:val="center"/>
              <w:rPr>
                <w:rFonts w:cs="宋体"/>
                <w:color w:val="000000"/>
                <w:kern w:val="0"/>
                <w:sz w:val="21"/>
                <w:szCs w:val="21"/>
              </w:rPr>
            </w:pPr>
            <w:r>
              <w:rPr>
                <w:rFonts w:hint="eastAsia" w:cs="宋体"/>
                <w:color w:val="000000"/>
                <w:kern w:val="0"/>
                <w:sz w:val="21"/>
                <w:szCs w:val="21"/>
              </w:rPr>
              <w:t>最终落实</w:t>
            </w:r>
          </w:p>
        </w:tc>
        <w:tc>
          <w:tcPr>
            <w:tcW w:w="113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6.67</w:t>
            </w:r>
          </w:p>
        </w:tc>
        <w:tc>
          <w:tcPr>
            <w:tcW w:w="992"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6.67</w:t>
            </w:r>
          </w:p>
        </w:tc>
        <w:tc>
          <w:tcPr>
            <w:tcW w:w="888"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6.67</w:t>
            </w:r>
          </w:p>
        </w:tc>
        <w:tc>
          <w:tcPr>
            <w:tcW w:w="1275"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26.67</w:t>
            </w:r>
          </w:p>
        </w:tc>
        <w:tc>
          <w:tcPr>
            <w:tcW w:w="1265"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53.33</w:t>
            </w:r>
          </w:p>
        </w:tc>
        <w:tc>
          <w:tcPr>
            <w:tcW w:w="689"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8" w:hRule="atLeast"/>
          <w:jc w:val="center"/>
        </w:trPr>
        <w:tc>
          <w:tcPr>
            <w:tcW w:w="1497" w:type="dxa"/>
            <w:vMerge w:val="continue"/>
            <w:vAlign w:val="center"/>
          </w:tcPr>
          <w:p>
            <w:pPr>
              <w:widowControl/>
              <w:jc w:val="left"/>
              <w:rPr>
                <w:rFonts w:ascii="宋体" w:hAnsi="宋体" w:cs="宋体"/>
                <w:b/>
                <w:bCs/>
                <w:color w:val="000000"/>
                <w:kern w:val="0"/>
                <w:sz w:val="21"/>
                <w:szCs w:val="21"/>
              </w:rPr>
            </w:pPr>
          </w:p>
        </w:tc>
        <w:tc>
          <w:tcPr>
            <w:tcW w:w="1273" w:type="dxa"/>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期望首选</w:t>
            </w:r>
          </w:p>
        </w:tc>
        <w:tc>
          <w:tcPr>
            <w:tcW w:w="113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6.67</w:t>
            </w:r>
          </w:p>
        </w:tc>
        <w:tc>
          <w:tcPr>
            <w:tcW w:w="992"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888"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6.67</w:t>
            </w:r>
          </w:p>
        </w:tc>
        <w:tc>
          <w:tcPr>
            <w:tcW w:w="1275"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13.33</w:t>
            </w:r>
          </w:p>
        </w:tc>
        <w:tc>
          <w:tcPr>
            <w:tcW w:w="1265"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73.33</w:t>
            </w:r>
          </w:p>
        </w:tc>
        <w:tc>
          <w:tcPr>
            <w:tcW w:w="689"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8" w:hRule="atLeast"/>
          <w:jc w:val="center"/>
        </w:trPr>
        <w:tc>
          <w:tcPr>
            <w:tcW w:w="1497" w:type="dxa"/>
            <w:vMerge w:val="restart"/>
            <w:shd w:val="clear" w:color="auto" w:fill="DAEEF3" w:themeFill="accent5" w:themeFillTint="33"/>
            <w:vAlign w:val="center"/>
          </w:tcPr>
          <w:p>
            <w:pPr>
              <w:widowControl/>
              <w:jc w:val="left"/>
              <w:rPr>
                <w:rFonts w:ascii="宋体" w:hAnsi="宋体" w:cs="宋体"/>
                <w:b/>
                <w:bCs/>
                <w:color w:val="000000"/>
                <w:kern w:val="0"/>
                <w:sz w:val="21"/>
                <w:szCs w:val="21"/>
              </w:rPr>
            </w:pPr>
            <w:r>
              <w:rPr>
                <w:rFonts w:hint="eastAsia" w:ascii="宋体" w:hAnsi="宋体" w:cs="宋体"/>
                <w:b/>
                <w:bCs/>
                <w:color w:val="000000"/>
                <w:kern w:val="0"/>
                <w:sz w:val="21"/>
                <w:szCs w:val="21"/>
              </w:rPr>
              <w:t>戏剧与影视学</w:t>
            </w:r>
          </w:p>
        </w:tc>
        <w:tc>
          <w:tcPr>
            <w:tcW w:w="1273" w:type="dxa"/>
            <w:shd w:val="clear" w:color="auto" w:fill="DAEEF3" w:themeFill="accent5" w:themeFillTint="33"/>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最终落实</w:t>
            </w:r>
          </w:p>
        </w:tc>
        <w:tc>
          <w:tcPr>
            <w:tcW w:w="113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992"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888"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275"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24.00</w:t>
            </w:r>
          </w:p>
        </w:tc>
        <w:tc>
          <w:tcPr>
            <w:tcW w:w="1265"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76.00</w:t>
            </w:r>
          </w:p>
        </w:tc>
        <w:tc>
          <w:tcPr>
            <w:tcW w:w="689"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8" w:hRule="atLeast"/>
          <w:jc w:val="center"/>
        </w:trPr>
        <w:tc>
          <w:tcPr>
            <w:tcW w:w="1497" w:type="dxa"/>
            <w:vMerge w:val="continue"/>
            <w:vAlign w:val="center"/>
          </w:tcPr>
          <w:p>
            <w:pPr>
              <w:widowControl/>
              <w:jc w:val="left"/>
              <w:rPr>
                <w:rFonts w:ascii="宋体" w:hAnsi="宋体" w:cs="宋体"/>
                <w:b/>
                <w:bCs/>
                <w:color w:val="000000"/>
                <w:kern w:val="0"/>
                <w:sz w:val="21"/>
                <w:szCs w:val="21"/>
              </w:rPr>
            </w:pPr>
          </w:p>
        </w:tc>
        <w:tc>
          <w:tcPr>
            <w:tcW w:w="1273" w:type="dxa"/>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期望首选</w:t>
            </w:r>
          </w:p>
        </w:tc>
        <w:tc>
          <w:tcPr>
            <w:tcW w:w="113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992"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888"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275"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12.00</w:t>
            </w:r>
          </w:p>
        </w:tc>
        <w:tc>
          <w:tcPr>
            <w:tcW w:w="1265"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84.00</w:t>
            </w:r>
          </w:p>
        </w:tc>
        <w:tc>
          <w:tcPr>
            <w:tcW w:w="689"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4.00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8" w:hRule="atLeast"/>
          <w:jc w:val="center"/>
        </w:trPr>
        <w:tc>
          <w:tcPr>
            <w:tcW w:w="1497" w:type="dxa"/>
            <w:vMerge w:val="restart"/>
            <w:shd w:val="clear" w:color="auto" w:fill="DAEEF3" w:themeFill="accent5" w:themeFillTint="33"/>
            <w:vAlign w:val="center"/>
          </w:tcPr>
          <w:p>
            <w:pPr>
              <w:widowControl/>
              <w:jc w:val="left"/>
              <w:rPr>
                <w:rFonts w:ascii="宋体" w:hAnsi="宋体" w:cs="宋体"/>
                <w:b/>
                <w:bCs/>
                <w:color w:val="000000"/>
                <w:kern w:val="0"/>
                <w:sz w:val="21"/>
                <w:szCs w:val="21"/>
              </w:rPr>
            </w:pPr>
            <w:r>
              <w:rPr>
                <w:rFonts w:hint="eastAsia" w:ascii="宋体" w:hAnsi="宋体" w:cs="宋体"/>
                <w:b/>
                <w:bCs/>
                <w:color w:val="000000"/>
                <w:kern w:val="0"/>
                <w:sz w:val="21"/>
                <w:szCs w:val="21"/>
              </w:rPr>
              <w:t>艺术学理论</w:t>
            </w:r>
          </w:p>
        </w:tc>
        <w:tc>
          <w:tcPr>
            <w:tcW w:w="1273" w:type="dxa"/>
            <w:shd w:val="clear" w:color="auto" w:fill="DAEEF3" w:themeFill="accent5" w:themeFillTint="33"/>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最终落实</w:t>
            </w:r>
          </w:p>
        </w:tc>
        <w:tc>
          <w:tcPr>
            <w:tcW w:w="1133"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992"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16.67</w:t>
            </w:r>
          </w:p>
        </w:tc>
        <w:tc>
          <w:tcPr>
            <w:tcW w:w="888"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275"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16.67</w:t>
            </w:r>
          </w:p>
        </w:tc>
        <w:tc>
          <w:tcPr>
            <w:tcW w:w="1265"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50.00</w:t>
            </w:r>
          </w:p>
        </w:tc>
        <w:tc>
          <w:tcPr>
            <w:tcW w:w="689"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16.67</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8" w:hRule="atLeast"/>
          <w:jc w:val="center"/>
        </w:trPr>
        <w:tc>
          <w:tcPr>
            <w:tcW w:w="1497" w:type="dxa"/>
            <w:vMerge w:val="continue"/>
            <w:vAlign w:val="center"/>
          </w:tcPr>
          <w:p>
            <w:pPr>
              <w:widowControl/>
              <w:jc w:val="left"/>
              <w:rPr>
                <w:rFonts w:ascii="宋体" w:hAnsi="宋体" w:cs="宋体"/>
                <w:b/>
                <w:bCs/>
                <w:color w:val="000000"/>
                <w:kern w:val="0"/>
                <w:sz w:val="21"/>
                <w:szCs w:val="21"/>
              </w:rPr>
            </w:pPr>
          </w:p>
        </w:tc>
        <w:tc>
          <w:tcPr>
            <w:tcW w:w="1273" w:type="dxa"/>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期望首选</w:t>
            </w:r>
          </w:p>
        </w:tc>
        <w:tc>
          <w:tcPr>
            <w:tcW w:w="1133"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992"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888"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275"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0.00</w:t>
            </w:r>
          </w:p>
        </w:tc>
        <w:tc>
          <w:tcPr>
            <w:tcW w:w="1265"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83.33</w:t>
            </w:r>
          </w:p>
        </w:tc>
        <w:tc>
          <w:tcPr>
            <w:tcW w:w="689"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16.67</w:t>
            </w:r>
          </w:p>
        </w:tc>
      </w:tr>
    </w:tbl>
    <w:p>
      <w:pPr>
        <w:pStyle w:val="55"/>
        <w:spacing w:before="312" w:after="156"/>
      </w:pPr>
      <w:r>
        <w:rPr>
          <w:rFonts w:hint="eastAsia"/>
        </w:rPr>
        <w:t>不同专业博士生期望首选与最终落实就业行业（%）</w:t>
      </w:r>
    </w:p>
    <w:tbl>
      <w:tblPr>
        <w:tblStyle w:val="125"/>
        <w:tblW w:w="8069" w:type="dxa"/>
        <w:jc w:val="center"/>
        <w:tblInd w:w="0"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2115"/>
        <w:gridCol w:w="1095"/>
        <w:gridCol w:w="2385"/>
        <w:gridCol w:w="2474"/>
      </w:tblGrid>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664" w:hRule="atLeast"/>
          <w:jc w:val="center"/>
        </w:trPr>
        <w:tc>
          <w:tcPr>
            <w:tcW w:w="2115" w:type="dxa"/>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000000"/>
                <w:kern w:val="0"/>
                <w:sz w:val="21"/>
                <w:szCs w:val="21"/>
              </w:rPr>
            </w:pPr>
            <w:r>
              <w:rPr>
                <w:rFonts w:hint="eastAsia" w:ascii="宋体" w:hAnsi="宋体" w:cs="宋体"/>
                <w:b/>
                <w:bCs/>
                <w:color w:val="FFFFFF" w:themeColor="background1"/>
                <w:kern w:val="0"/>
                <w:sz w:val="21"/>
                <w:szCs w:val="21"/>
              </w:rPr>
              <w:t>专业</w:t>
            </w:r>
          </w:p>
        </w:tc>
        <w:tc>
          <w:tcPr>
            <w:tcW w:w="1095"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类别</w:t>
            </w:r>
          </w:p>
        </w:tc>
        <w:tc>
          <w:tcPr>
            <w:tcW w:w="2385"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教育及科研行业</w:t>
            </w:r>
          </w:p>
        </w:tc>
        <w:tc>
          <w:tcPr>
            <w:tcW w:w="2474" w:type="dxa"/>
            <w:tcBorders>
              <w:top w:val="single" w:color="4BACC6" w:themeColor="accent5" w:sz="4" w:space="0"/>
              <w:bottom w:val="single" w:color="4BACC6" w:themeColor="accent5" w:sz="4" w:space="0"/>
              <w:right w:val="single" w:color="4BACC6" w:themeColor="accent5" w:sz="4" w:space="0"/>
              <w:insideH w:val="single" w:sz="4" w:space="0"/>
              <w:insideV w:val="nil"/>
            </w:tcBorders>
            <w:shd w:val="clear" w:color="auto" w:fill="4BACC6" w:themeFill="accent5"/>
            <w:vAlign w:val="center"/>
          </w:tcPr>
          <w:p>
            <w:pPr>
              <w:widowControl/>
              <w:jc w:val="center"/>
              <w:rPr>
                <w:rFonts w:ascii="宋体" w:hAnsi="宋体" w:cs="宋体"/>
                <w:b/>
                <w:bCs/>
                <w:color w:val="FFFFFF" w:themeColor="background1"/>
                <w:kern w:val="0"/>
                <w:sz w:val="21"/>
                <w:szCs w:val="21"/>
              </w:rPr>
            </w:pPr>
            <w:r>
              <w:rPr>
                <w:rFonts w:hint="eastAsia" w:ascii="宋体" w:hAnsi="宋体" w:cs="宋体"/>
                <w:b/>
                <w:bCs/>
                <w:color w:val="FFFFFF" w:themeColor="background1"/>
                <w:kern w:val="0"/>
                <w:sz w:val="21"/>
                <w:szCs w:val="21"/>
              </w:rPr>
              <w:t>文化、体育和娱乐业</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8" w:hRule="atLeast"/>
          <w:jc w:val="center"/>
        </w:trPr>
        <w:tc>
          <w:tcPr>
            <w:tcW w:w="2115" w:type="dxa"/>
            <w:vMerge w:val="restart"/>
            <w:shd w:val="clear" w:color="auto" w:fill="DAEEF3" w:themeFill="accent5" w:themeFillTint="33"/>
            <w:vAlign w:val="center"/>
          </w:tcPr>
          <w:p>
            <w:pPr>
              <w:widowControl/>
              <w:jc w:val="left"/>
              <w:rPr>
                <w:rFonts w:ascii="宋体" w:hAnsi="宋体" w:cs="宋体"/>
                <w:b/>
                <w:bCs/>
                <w:color w:val="000000"/>
                <w:kern w:val="0"/>
                <w:sz w:val="21"/>
                <w:szCs w:val="21"/>
              </w:rPr>
            </w:pPr>
            <w:r>
              <w:rPr>
                <w:rFonts w:hint="eastAsia" w:ascii="宋体" w:hAnsi="宋体" w:cs="宋体"/>
                <w:b/>
                <w:bCs/>
                <w:color w:val="000000"/>
                <w:kern w:val="0"/>
                <w:sz w:val="21"/>
                <w:szCs w:val="21"/>
              </w:rPr>
              <w:t>戏剧与影视学</w:t>
            </w:r>
          </w:p>
        </w:tc>
        <w:tc>
          <w:tcPr>
            <w:tcW w:w="1095" w:type="dxa"/>
            <w:shd w:val="clear" w:color="auto" w:fill="DAEEF3" w:themeFill="accent5" w:themeFillTint="33"/>
            <w:vAlign w:val="center"/>
          </w:tcPr>
          <w:p>
            <w:pPr>
              <w:widowControl/>
              <w:jc w:val="center"/>
              <w:rPr>
                <w:rFonts w:cs="宋体"/>
                <w:color w:val="000000"/>
                <w:kern w:val="0"/>
                <w:sz w:val="21"/>
                <w:szCs w:val="21"/>
              </w:rPr>
            </w:pPr>
            <w:r>
              <w:rPr>
                <w:rFonts w:hint="eastAsia" w:cs="宋体"/>
                <w:color w:val="000000"/>
                <w:kern w:val="0"/>
                <w:sz w:val="21"/>
                <w:szCs w:val="21"/>
              </w:rPr>
              <w:t>最终落实</w:t>
            </w:r>
          </w:p>
        </w:tc>
        <w:tc>
          <w:tcPr>
            <w:tcW w:w="2385"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80.00</w:t>
            </w:r>
          </w:p>
        </w:tc>
        <w:tc>
          <w:tcPr>
            <w:tcW w:w="2474"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8" w:hRule="atLeast"/>
          <w:jc w:val="center"/>
        </w:trPr>
        <w:tc>
          <w:tcPr>
            <w:tcW w:w="2115" w:type="dxa"/>
            <w:vMerge w:val="continue"/>
            <w:vAlign w:val="center"/>
          </w:tcPr>
          <w:p>
            <w:pPr>
              <w:widowControl/>
              <w:jc w:val="left"/>
              <w:rPr>
                <w:rFonts w:ascii="宋体" w:hAnsi="宋体" w:cs="宋体"/>
                <w:b/>
                <w:bCs/>
                <w:color w:val="000000"/>
                <w:kern w:val="0"/>
                <w:sz w:val="21"/>
                <w:szCs w:val="21"/>
              </w:rPr>
            </w:pPr>
          </w:p>
        </w:tc>
        <w:tc>
          <w:tcPr>
            <w:tcW w:w="1095" w:type="dxa"/>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期望首选</w:t>
            </w:r>
          </w:p>
        </w:tc>
        <w:tc>
          <w:tcPr>
            <w:tcW w:w="2385"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70.00</w:t>
            </w:r>
          </w:p>
        </w:tc>
        <w:tc>
          <w:tcPr>
            <w:tcW w:w="2474"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8" w:hRule="atLeast"/>
          <w:jc w:val="center"/>
        </w:trPr>
        <w:tc>
          <w:tcPr>
            <w:tcW w:w="2115" w:type="dxa"/>
            <w:vMerge w:val="restart"/>
            <w:shd w:val="clear" w:color="auto" w:fill="DAEEF3" w:themeFill="accent5" w:themeFillTint="33"/>
            <w:vAlign w:val="center"/>
          </w:tcPr>
          <w:p>
            <w:pPr>
              <w:widowControl/>
              <w:jc w:val="left"/>
              <w:rPr>
                <w:rFonts w:ascii="宋体" w:hAnsi="宋体" w:cs="宋体"/>
                <w:b/>
                <w:bCs/>
                <w:color w:val="000000"/>
                <w:kern w:val="0"/>
                <w:sz w:val="21"/>
                <w:szCs w:val="21"/>
              </w:rPr>
            </w:pPr>
            <w:r>
              <w:rPr>
                <w:rFonts w:hint="eastAsia" w:ascii="宋体" w:hAnsi="宋体" w:cs="宋体"/>
                <w:b/>
                <w:bCs/>
                <w:color w:val="000000"/>
                <w:kern w:val="0"/>
                <w:sz w:val="21"/>
                <w:szCs w:val="21"/>
              </w:rPr>
              <w:t>艺术学理论</w:t>
            </w:r>
          </w:p>
        </w:tc>
        <w:tc>
          <w:tcPr>
            <w:tcW w:w="1095" w:type="dxa"/>
            <w:shd w:val="clear" w:color="auto" w:fill="DAEEF3" w:themeFill="accent5" w:themeFillTint="33"/>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最终落实</w:t>
            </w:r>
          </w:p>
        </w:tc>
        <w:tc>
          <w:tcPr>
            <w:tcW w:w="2385"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25.00</w:t>
            </w:r>
          </w:p>
        </w:tc>
        <w:tc>
          <w:tcPr>
            <w:tcW w:w="2474" w:type="dxa"/>
            <w:shd w:val="clear" w:color="auto" w:fill="DAEEF3" w:themeFill="accent5" w:themeFillTint="33"/>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75.00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88" w:hRule="atLeast"/>
          <w:jc w:val="center"/>
        </w:trPr>
        <w:tc>
          <w:tcPr>
            <w:tcW w:w="2115" w:type="dxa"/>
            <w:vMerge w:val="continue"/>
            <w:vAlign w:val="center"/>
          </w:tcPr>
          <w:p>
            <w:pPr>
              <w:widowControl/>
              <w:jc w:val="left"/>
              <w:rPr>
                <w:rFonts w:ascii="宋体" w:hAnsi="宋体" w:cs="宋体"/>
                <w:b/>
                <w:bCs/>
                <w:color w:val="000000"/>
                <w:kern w:val="0"/>
                <w:sz w:val="21"/>
                <w:szCs w:val="21"/>
              </w:rPr>
            </w:pPr>
          </w:p>
        </w:tc>
        <w:tc>
          <w:tcPr>
            <w:tcW w:w="1095" w:type="dxa"/>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期望首选</w:t>
            </w:r>
          </w:p>
        </w:tc>
        <w:tc>
          <w:tcPr>
            <w:tcW w:w="2385"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25.00</w:t>
            </w:r>
          </w:p>
        </w:tc>
        <w:tc>
          <w:tcPr>
            <w:tcW w:w="2474" w:type="dxa"/>
            <w:vAlign w:val="center"/>
          </w:tcPr>
          <w:p>
            <w:pPr>
              <w:widowControl/>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75.00</w:t>
            </w:r>
          </w:p>
        </w:tc>
      </w:tr>
    </w:tbl>
    <w:p>
      <w:pPr>
        <w:pStyle w:val="123"/>
        <w:ind w:firstLine="0" w:firstLineChars="0"/>
      </w:pPr>
    </w:p>
    <w:p>
      <w:pPr>
        <w:pStyle w:val="67"/>
        <w:spacing w:before="156" w:after="156"/>
        <w:ind w:left="240"/>
      </w:pPr>
      <w:r>
        <w:t>5</w:t>
      </w:r>
      <w:r>
        <w:rPr>
          <w:rFonts w:hint="eastAsia"/>
        </w:rPr>
        <w:t>.就业满意度</w:t>
      </w:r>
      <w:bookmarkEnd w:id="347"/>
    </w:p>
    <w:p>
      <w:pPr>
        <w:pStyle w:val="123"/>
        <w:ind w:firstLine="480"/>
      </w:pPr>
      <w:bookmarkStart w:id="351" w:name="PO_33251"/>
      <w:bookmarkEnd w:id="351"/>
      <w:r>
        <w:rPr>
          <w:rFonts w:hint="eastAsia"/>
        </w:rPr>
        <w:t>关于对目前工作满意度的评价，75.00%的研究生表示“很满意”或“满意”，3.33%的研究生则表示“不满意”。</w:t>
      </w:r>
    </w:p>
    <w:p>
      <w:pPr>
        <w:pStyle w:val="123"/>
        <w:ind w:firstLine="480"/>
        <w:jc w:val="center"/>
      </w:pPr>
      <w:r>
        <w:rPr>
          <w:rFonts w:hint="eastAsia"/>
        </w:rPr>
        <w:drawing>
          <wp:inline distT="0" distB="0" distL="0" distR="0">
            <wp:extent cx="5007610" cy="2286000"/>
            <wp:effectExtent l="0" t="0" r="2540" b="0"/>
            <wp:docPr id="2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pPr>
        <w:pStyle w:val="107"/>
        <w:spacing w:before="156" w:after="312"/>
      </w:pPr>
      <w:bookmarkStart w:id="352" w:name="PO_33252"/>
      <w:bookmarkEnd w:id="352"/>
      <w:r>
        <w:rPr>
          <w:rFonts w:hint="eastAsia"/>
        </w:rPr>
        <w:t>研究生就业满意度</w:t>
      </w:r>
    </w:p>
    <w:p>
      <w:pPr>
        <w:pStyle w:val="123"/>
        <w:ind w:firstLine="482"/>
      </w:pPr>
      <w:r>
        <w:rPr>
          <w:rFonts w:hint="eastAsia"/>
          <w:b/>
        </w:rPr>
        <w:t>就专业而言</w:t>
      </w:r>
      <w:r>
        <w:rPr>
          <w:rFonts w:hint="eastAsia"/>
        </w:rPr>
        <w:t>，</w:t>
      </w:r>
      <w:bookmarkStart w:id="353" w:name="PO_33254"/>
      <w:bookmarkEnd w:id="353"/>
      <w:r>
        <w:rPr>
          <w:rFonts w:hint="eastAsia"/>
        </w:rPr>
        <w:t>方差检验显示，不同专业的硕士生对目前工作的满意度不存在显著差异（F=1.14，p&gt;0.05）。不同专业的博士生对目前工作的满意度不存在显著差异（F=0.51，p&gt;0.05）。</w:t>
      </w:r>
    </w:p>
    <w:p>
      <w:pPr>
        <w:jc w:val="center"/>
      </w:pPr>
      <w:bookmarkStart w:id="354" w:name="PO_33255"/>
      <w:bookmarkEnd w:id="354"/>
    </w:p>
    <w:p>
      <w:pPr>
        <w:jc w:val="center"/>
      </w:pPr>
      <w:r>
        <w:rPr>
          <w:rFonts w:hint="eastAsia"/>
        </w:rPr>
        <w:drawing>
          <wp:inline distT="0" distB="0" distL="0" distR="0">
            <wp:extent cx="5556250" cy="1621155"/>
            <wp:effectExtent l="19050" t="0" r="25016" b="0"/>
            <wp:docPr id="47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pPr>
        <w:pStyle w:val="107"/>
        <w:spacing w:before="156" w:after="312"/>
      </w:pPr>
      <w:r>
        <w:rPr>
          <w:rFonts w:hint="eastAsia"/>
        </w:rPr>
        <w:t>不同专业硕士生就业满意度</w:t>
      </w:r>
    </w:p>
    <w:p>
      <w:pPr>
        <w:jc w:val="center"/>
      </w:pPr>
      <w:r>
        <w:rPr>
          <w:rFonts w:hint="eastAsia"/>
        </w:rPr>
        <w:drawing>
          <wp:inline distT="0" distB="0" distL="0" distR="0">
            <wp:extent cx="5562600" cy="2371725"/>
            <wp:effectExtent l="19050" t="0" r="19050" b="0"/>
            <wp:docPr id="47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pPr>
        <w:pStyle w:val="107"/>
        <w:spacing w:before="156" w:after="312"/>
      </w:pPr>
      <w:r>
        <w:rPr>
          <w:rFonts w:hint="eastAsia"/>
        </w:rPr>
        <w:t>不同专业博士生就业满意度</w:t>
      </w:r>
    </w:p>
    <w:p>
      <w:pPr>
        <w:pStyle w:val="107"/>
        <w:numPr>
          <w:ilvl w:val="0"/>
          <w:numId w:val="0"/>
        </w:numPr>
        <w:spacing w:beforeLines="0" w:afterLines="0" w:line="360" w:lineRule="auto"/>
        <w:ind w:firstLine="482" w:firstLineChars="200"/>
        <w:jc w:val="both"/>
        <w:rPr>
          <w:rFonts w:eastAsia="宋体"/>
          <w:color w:val="auto"/>
          <w:sz w:val="24"/>
          <w:szCs w:val="24"/>
        </w:rPr>
      </w:pPr>
      <w:bookmarkStart w:id="355" w:name="PO_33256"/>
      <w:bookmarkEnd w:id="355"/>
      <w:r>
        <w:rPr>
          <w:rFonts w:hint="eastAsia" w:eastAsia="宋体"/>
          <w:b/>
          <w:color w:val="auto"/>
          <w:sz w:val="24"/>
          <w:szCs w:val="24"/>
        </w:rPr>
        <w:t>与2016届</w:t>
      </w:r>
      <w:r>
        <w:rPr>
          <w:rFonts w:eastAsia="宋体"/>
          <w:b/>
          <w:color w:val="auto"/>
          <w:sz w:val="24"/>
          <w:szCs w:val="24"/>
        </w:rPr>
        <w:t>相比而言，</w:t>
      </w:r>
      <w:r>
        <w:rPr>
          <w:rFonts w:hint="eastAsia" w:eastAsia="宋体"/>
          <w:color w:val="auto"/>
          <w:sz w:val="24"/>
          <w:szCs w:val="24"/>
        </w:rPr>
        <w:t>2017届研究生对</w:t>
      </w:r>
      <w:r>
        <w:rPr>
          <w:rFonts w:eastAsia="宋体"/>
          <w:color w:val="auto"/>
          <w:sz w:val="24"/>
          <w:szCs w:val="24"/>
        </w:rPr>
        <w:t>首份工作</w:t>
      </w:r>
      <w:r>
        <w:rPr>
          <w:rFonts w:hint="eastAsia" w:asciiTheme="minorEastAsia" w:hAnsiTheme="minorEastAsia"/>
          <w:color w:val="auto"/>
          <w:sz w:val="24"/>
          <w:szCs w:val="24"/>
        </w:rPr>
        <w:t>“很满意”“满意”的</w:t>
      </w:r>
      <w:r>
        <w:rPr>
          <w:rFonts w:asciiTheme="minorEastAsia" w:hAnsiTheme="minorEastAsia"/>
          <w:color w:val="auto"/>
          <w:sz w:val="24"/>
          <w:szCs w:val="24"/>
        </w:rPr>
        <w:t>比例</w:t>
      </w:r>
      <w:r>
        <w:rPr>
          <w:rFonts w:hint="eastAsia" w:asciiTheme="minorEastAsia" w:hAnsiTheme="minorEastAsia"/>
          <w:color w:val="auto"/>
          <w:sz w:val="24"/>
          <w:szCs w:val="24"/>
        </w:rPr>
        <w:t>有所</w:t>
      </w:r>
      <w:r>
        <w:rPr>
          <w:rFonts w:asciiTheme="minorEastAsia" w:hAnsiTheme="minorEastAsia"/>
          <w:color w:val="auto"/>
          <w:sz w:val="24"/>
          <w:szCs w:val="24"/>
        </w:rPr>
        <w:t>下降，</w:t>
      </w:r>
      <w:r>
        <w:rPr>
          <w:rFonts w:hint="eastAsia" w:asciiTheme="minorEastAsia" w:hAnsiTheme="minorEastAsia"/>
          <w:color w:val="auto"/>
          <w:sz w:val="24"/>
          <w:szCs w:val="24"/>
        </w:rPr>
        <w:t>而</w:t>
      </w:r>
      <w:r>
        <w:rPr>
          <w:rFonts w:asciiTheme="minorEastAsia" w:hAnsiTheme="minorEastAsia"/>
          <w:color w:val="auto"/>
          <w:sz w:val="24"/>
          <w:szCs w:val="24"/>
        </w:rPr>
        <w:t>对就业表示“</w:t>
      </w:r>
      <w:r>
        <w:rPr>
          <w:rFonts w:hint="eastAsia" w:asciiTheme="minorEastAsia" w:hAnsiTheme="minorEastAsia"/>
          <w:color w:val="auto"/>
          <w:sz w:val="24"/>
          <w:szCs w:val="24"/>
        </w:rPr>
        <w:t>不好说</w:t>
      </w:r>
      <w:r>
        <w:rPr>
          <w:rFonts w:asciiTheme="minorEastAsia" w:hAnsiTheme="minorEastAsia"/>
          <w:color w:val="auto"/>
          <w:sz w:val="24"/>
          <w:szCs w:val="24"/>
        </w:rPr>
        <w:t>”“</w:t>
      </w:r>
      <w:r>
        <w:rPr>
          <w:rFonts w:hint="eastAsia" w:asciiTheme="minorEastAsia" w:hAnsiTheme="minorEastAsia"/>
          <w:color w:val="auto"/>
          <w:sz w:val="24"/>
          <w:szCs w:val="24"/>
        </w:rPr>
        <w:t>不满意</w:t>
      </w:r>
      <w:r>
        <w:rPr>
          <w:rFonts w:asciiTheme="minorEastAsia" w:hAnsiTheme="minorEastAsia"/>
          <w:color w:val="auto"/>
          <w:sz w:val="24"/>
          <w:szCs w:val="24"/>
        </w:rPr>
        <w:t>”</w:t>
      </w:r>
      <w:r>
        <w:rPr>
          <w:rFonts w:hint="eastAsia" w:asciiTheme="minorEastAsia" w:hAnsiTheme="minorEastAsia"/>
          <w:color w:val="auto"/>
          <w:sz w:val="24"/>
          <w:szCs w:val="24"/>
        </w:rPr>
        <w:t>的</w:t>
      </w:r>
      <w:r>
        <w:rPr>
          <w:rFonts w:asciiTheme="minorEastAsia" w:hAnsiTheme="minorEastAsia"/>
          <w:color w:val="auto"/>
          <w:sz w:val="24"/>
          <w:szCs w:val="24"/>
        </w:rPr>
        <w:t>比例有所升高。</w:t>
      </w:r>
    </w:p>
    <w:p>
      <w:pPr>
        <w:pStyle w:val="107"/>
        <w:numPr>
          <w:ilvl w:val="0"/>
          <w:numId w:val="0"/>
        </w:numPr>
        <w:spacing w:before="156" w:after="312"/>
        <w:ind w:left="652"/>
      </w:pPr>
      <w:r>
        <w:rPr>
          <w:rFonts w:hint="eastAsia"/>
        </w:rPr>
        <w:drawing>
          <wp:inline distT="0" distB="0" distL="0" distR="0">
            <wp:extent cx="4796155" cy="2734310"/>
            <wp:effectExtent l="19050" t="0" r="0" b="0"/>
            <wp:docPr id="45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pPr>
        <w:pStyle w:val="107"/>
        <w:spacing w:before="156" w:after="312"/>
      </w:pPr>
      <w:r>
        <w:rPr>
          <w:rFonts w:hint="eastAsia"/>
        </w:rPr>
        <w:t>2016届</w:t>
      </w:r>
      <w:r>
        <w:t>与</w:t>
      </w:r>
      <w:r>
        <w:rPr>
          <w:rFonts w:hint="eastAsia"/>
        </w:rPr>
        <w:t>2017届研究生</w:t>
      </w:r>
      <w:r>
        <w:t>就业满意度对比</w:t>
      </w:r>
    </w:p>
    <w:p>
      <w:pPr>
        <w:pStyle w:val="41"/>
        <w:ind w:firstLine="480"/>
      </w:pPr>
    </w:p>
    <w:p>
      <w:pPr>
        <w:pStyle w:val="67"/>
        <w:spacing w:before="156" w:after="156"/>
        <w:ind w:left="240" w:firstLine="281"/>
      </w:pPr>
      <w:bookmarkStart w:id="356" w:name="_Toc486857524"/>
      <w:r>
        <w:rPr>
          <w:rFonts w:hint="eastAsia"/>
        </w:rPr>
        <w:t>6.</w:t>
      </w:r>
      <w:r>
        <w:t>年薪</w:t>
      </w:r>
      <w:bookmarkEnd w:id="356"/>
    </w:p>
    <w:p>
      <w:pPr>
        <w:pStyle w:val="123"/>
        <w:ind w:firstLine="480"/>
      </w:pPr>
      <w:bookmarkStart w:id="357" w:name="PO_33261"/>
      <w:bookmarkEnd w:id="357"/>
      <w:r>
        <w:rPr>
          <w:rFonts w:hint="eastAsia"/>
        </w:rPr>
        <w:t>总体而言，研究生最终落实的平均年薪为10.17万元，比期望年薪低3.76万元。</w:t>
      </w:r>
    </w:p>
    <w:p>
      <w:pPr>
        <w:jc w:val="center"/>
      </w:pPr>
      <w:bookmarkStart w:id="358" w:name="PO_33262"/>
      <w:bookmarkEnd w:id="358"/>
      <w:r>
        <w:rPr>
          <w:rFonts w:hint="eastAsia"/>
        </w:rPr>
        <w:drawing>
          <wp:inline distT="0" distB="0" distL="0" distR="0">
            <wp:extent cx="4493895" cy="2673985"/>
            <wp:effectExtent l="19050" t="0" r="20488" b="0"/>
            <wp:docPr id="391" name="图表 3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pPr>
        <w:pStyle w:val="107"/>
        <w:spacing w:before="156" w:after="312"/>
      </w:pPr>
      <w:r>
        <w:rPr>
          <w:rFonts w:hint="eastAsia"/>
        </w:rPr>
        <w:t>研究生落实的年薪分布情况（单位：万元）</w:t>
      </w:r>
    </w:p>
    <w:p>
      <w:pPr>
        <w:pStyle w:val="123"/>
        <w:ind w:firstLine="482"/>
      </w:pPr>
      <w:r>
        <w:rPr>
          <w:rFonts w:hint="eastAsia"/>
          <w:b/>
        </w:rPr>
        <w:t>就专业而言</w:t>
      </w:r>
      <w:r>
        <w:rPr>
          <w:rFonts w:hint="eastAsia"/>
        </w:rPr>
        <w:t>，</w:t>
      </w:r>
      <w:bookmarkStart w:id="359" w:name="PO_33264"/>
      <w:bookmarkEnd w:id="359"/>
      <w:bookmarkStart w:id="360" w:name="PO_33265"/>
      <w:bookmarkEnd w:id="360"/>
      <w:r>
        <w:rPr>
          <w:rFonts w:hint="eastAsia"/>
        </w:rPr>
        <w:t>艺术学理论（12.83万元）硕士生最终落实年薪最高、戏剧（11.73万元）次之，戏剧与影视学（8.87万元）最低；从期望与实际的差异看，3个专业硕士生落实的年薪均低于期望的年薪。戏剧与影视学（11.00万元）博士生最终落实年薪高于艺术学理论（5.75万元）；从期望与实际的差异看，2个专业的博士生落实年薪均低于期望年薪。</w:t>
      </w:r>
    </w:p>
    <w:p>
      <w:pPr>
        <w:jc w:val="center"/>
      </w:pPr>
      <w:r>
        <w:rPr>
          <w:rFonts w:hint="eastAsia"/>
        </w:rPr>
        <w:drawing>
          <wp:inline distT="0" distB="0" distL="0" distR="0">
            <wp:extent cx="5274310" cy="3076575"/>
            <wp:effectExtent l="0" t="0" r="0" b="0"/>
            <wp:docPr id="479" name="图表 4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pPr>
        <w:pStyle w:val="107"/>
        <w:spacing w:before="156" w:after="312"/>
      </w:pPr>
      <w:r>
        <w:rPr>
          <w:rFonts w:hint="eastAsia"/>
        </w:rPr>
        <w:t>不同专业硕士生期望与落实年薪（万元）</w:t>
      </w:r>
    </w:p>
    <w:p>
      <w:pPr>
        <w:jc w:val="center"/>
      </w:pPr>
      <w:r>
        <w:rPr>
          <w:rFonts w:hint="eastAsia"/>
        </w:rPr>
        <w:drawing>
          <wp:inline distT="0" distB="0" distL="0" distR="0">
            <wp:extent cx="5274310" cy="3076575"/>
            <wp:effectExtent l="0" t="0" r="0" b="0"/>
            <wp:docPr id="480" name="图表 4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pPr>
        <w:pStyle w:val="107"/>
        <w:spacing w:before="156" w:after="312"/>
      </w:pPr>
      <w:r>
        <w:rPr>
          <w:rFonts w:hint="eastAsia"/>
        </w:rPr>
        <w:t>不同专业博士生期望与落实年薪（万元）</w:t>
      </w:r>
    </w:p>
    <w:p>
      <w:pPr>
        <w:spacing w:line="360" w:lineRule="auto"/>
        <w:ind w:firstLine="482" w:firstLineChars="200"/>
        <w:rPr>
          <w:rFonts w:ascii="Times New Roman" w:hAnsi="Times New Roman" w:cs="Times New Roman"/>
          <w:szCs w:val="24"/>
        </w:rPr>
      </w:pPr>
      <w:r>
        <w:rPr>
          <w:rFonts w:ascii="Times New Roman" w:hAnsi="Times New Roman" w:cs="Times New Roman"/>
          <w:b/>
          <w:szCs w:val="24"/>
        </w:rPr>
        <w:t>与2016届相比而言</w:t>
      </w:r>
      <w:r>
        <w:rPr>
          <w:rFonts w:ascii="Times New Roman" w:hAnsi="Times New Roman" w:cs="Times New Roman"/>
          <w:szCs w:val="24"/>
        </w:rPr>
        <w:t>，</w:t>
      </w:r>
      <w:r>
        <w:rPr>
          <w:rFonts w:hint="eastAsia"/>
        </w:rPr>
        <w:t>2017届</w:t>
      </w:r>
      <w:r>
        <w:rPr>
          <w:rFonts w:hint="eastAsia" w:ascii="Times New Roman" w:hAnsi="Times New Roman" w:cs="Times New Roman"/>
          <w:szCs w:val="24"/>
        </w:rPr>
        <w:t>研究</w:t>
      </w:r>
      <w:r>
        <w:rPr>
          <w:rFonts w:ascii="Times New Roman" w:hAnsi="Times New Roman" w:cs="Times New Roman"/>
          <w:szCs w:val="24"/>
        </w:rPr>
        <w:t>生期望</w:t>
      </w:r>
      <w:r>
        <w:rPr>
          <w:rFonts w:hint="eastAsia" w:ascii="Times New Roman" w:hAnsi="Times New Roman" w:cs="Times New Roman"/>
          <w:szCs w:val="24"/>
        </w:rPr>
        <w:t>-</w:t>
      </w:r>
      <w:r>
        <w:rPr>
          <w:rFonts w:ascii="Times New Roman" w:hAnsi="Times New Roman" w:cs="Times New Roman"/>
          <w:szCs w:val="24"/>
        </w:rPr>
        <w:t>落实的平均年薪均高于</w:t>
      </w:r>
      <w:r>
        <w:rPr>
          <w:rFonts w:hint="eastAsia" w:ascii="Times New Roman" w:hAnsi="Times New Roman" w:cs="Times New Roman"/>
          <w:szCs w:val="24"/>
        </w:rPr>
        <w:t>2016届。其中，2017届毕业生</w:t>
      </w:r>
      <w:r>
        <w:rPr>
          <w:rFonts w:ascii="Times New Roman" w:hAnsi="Times New Roman" w:cs="Times New Roman"/>
          <w:szCs w:val="24"/>
        </w:rPr>
        <w:t>最终落实的平均年薪</w:t>
      </w:r>
      <w:r>
        <w:rPr>
          <w:rFonts w:hint="eastAsia" w:ascii="Times New Roman" w:hAnsi="Times New Roman" w:cs="Times New Roman"/>
          <w:szCs w:val="24"/>
        </w:rPr>
        <w:t>略有增加（0.32万元）</w:t>
      </w:r>
      <w:r>
        <w:rPr>
          <w:rFonts w:ascii="Times New Roman" w:hAnsi="Times New Roman" w:cs="Times New Roman"/>
          <w:szCs w:val="24"/>
        </w:rPr>
        <w:t>。</w:t>
      </w:r>
    </w:p>
    <w:p>
      <w:pPr>
        <w:jc w:val="center"/>
      </w:pPr>
      <w:r>
        <w:rPr>
          <w:rFonts w:hint="eastAsia"/>
        </w:rPr>
        <w:drawing>
          <wp:inline distT="0" distB="0" distL="0" distR="0">
            <wp:extent cx="4060825" cy="2673985"/>
            <wp:effectExtent l="19050" t="0" r="15456" b="0"/>
            <wp:docPr id="455" name="图表 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pPr>
        <w:pStyle w:val="107"/>
        <w:spacing w:before="156" w:after="312"/>
      </w:pPr>
      <w:r>
        <w:rPr>
          <w:rFonts w:hint="eastAsia"/>
        </w:rPr>
        <w:t>2016届</w:t>
      </w:r>
      <w:r>
        <w:t>与</w:t>
      </w:r>
      <w:r>
        <w:rPr>
          <w:rFonts w:hint="eastAsia"/>
        </w:rPr>
        <w:t>2017届研究</w:t>
      </w:r>
      <w:r>
        <w:t>生</w:t>
      </w:r>
      <w:r>
        <w:rPr>
          <w:rFonts w:hint="eastAsia"/>
        </w:rPr>
        <w:t>期望与落实</w:t>
      </w:r>
      <w:r>
        <w:t>年薪的比较</w:t>
      </w:r>
      <w:r>
        <w:rPr>
          <w:rFonts w:hint="eastAsia"/>
        </w:rPr>
        <w:t>（万元）</w:t>
      </w:r>
    </w:p>
    <w:p>
      <w:pPr>
        <w:pStyle w:val="123"/>
        <w:ind w:firstLine="480"/>
      </w:pPr>
      <w:bookmarkStart w:id="361" w:name="PO_33266"/>
      <w:bookmarkEnd w:id="361"/>
    </w:p>
    <w:p>
      <w:pPr>
        <w:pStyle w:val="67"/>
        <w:spacing w:before="156" w:after="156"/>
        <w:ind w:left="240"/>
      </w:pPr>
      <w:bookmarkStart w:id="362" w:name="_Toc486857525"/>
      <w:r>
        <w:rPr>
          <w:rFonts w:hint="eastAsia"/>
        </w:rPr>
        <w:t>7.福利保障</w:t>
      </w:r>
      <w:bookmarkEnd w:id="362"/>
    </w:p>
    <w:p>
      <w:pPr>
        <w:pStyle w:val="70"/>
        <w:spacing w:before="156" w:after="156"/>
        <w:ind w:left="360"/>
      </w:pPr>
      <w:r>
        <w:rPr>
          <w:rFonts w:hint="eastAsia"/>
        </w:rPr>
        <w:t>（1）保险</w:t>
      </w:r>
    </w:p>
    <w:p>
      <w:pPr>
        <w:pStyle w:val="123"/>
        <w:ind w:firstLine="480"/>
      </w:pPr>
      <w:bookmarkStart w:id="363" w:name="PO_332711"/>
      <w:bookmarkEnd w:id="363"/>
      <w:r>
        <w:rPr>
          <w:rFonts w:hint="eastAsia"/>
        </w:rPr>
        <w:t>从研究生落实工作的保险情况看，有五险的研究生占88.33%，五险不全和没有五险的分别占5.00%和6.67%。</w:t>
      </w:r>
    </w:p>
    <w:p>
      <w:pPr>
        <w:jc w:val="center"/>
      </w:pPr>
      <w:bookmarkStart w:id="364" w:name="PO_332712"/>
      <w:bookmarkEnd w:id="364"/>
      <w:r>
        <w:rPr>
          <w:rFonts w:hint="eastAsia"/>
        </w:rPr>
        <w:drawing>
          <wp:inline distT="0" distB="0" distL="0" distR="0">
            <wp:extent cx="5026025" cy="3133725"/>
            <wp:effectExtent l="19050" t="0" r="22225" b="0"/>
            <wp:docPr id="39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pPr>
        <w:pStyle w:val="107"/>
        <w:spacing w:before="156" w:after="312"/>
      </w:pPr>
      <w:r>
        <w:rPr>
          <w:rFonts w:hint="eastAsia"/>
        </w:rPr>
        <w:t>研究生落实工作的保险情况</w:t>
      </w:r>
    </w:p>
    <w:p>
      <w:pPr>
        <w:spacing w:line="360" w:lineRule="auto"/>
        <w:ind w:firstLine="482" w:firstLineChars="200"/>
        <w:rPr>
          <w:rFonts w:ascii="Times New Roman" w:hAnsi="Times New Roman" w:cs="Times New Roman"/>
        </w:rPr>
      </w:pPr>
      <w:bookmarkStart w:id="365" w:name="PO_332714"/>
      <w:bookmarkEnd w:id="365"/>
      <w:r>
        <w:rPr>
          <w:rFonts w:ascii="Times New Roman" w:hAnsi="Times New Roman" w:cs="Times New Roman"/>
          <w:b/>
        </w:rPr>
        <w:t>与2016届相比</w:t>
      </w:r>
      <w:r>
        <w:rPr>
          <w:rFonts w:ascii="Times New Roman" w:hAnsi="Times New Roman" w:cs="Times New Roman"/>
        </w:rPr>
        <w:t>，</w:t>
      </w:r>
      <w:r>
        <w:rPr>
          <w:rFonts w:hint="eastAsia"/>
        </w:rPr>
        <w:t>2017届</w:t>
      </w:r>
      <w:r>
        <w:rPr>
          <w:rFonts w:hint="eastAsia" w:ascii="Times New Roman" w:hAnsi="Times New Roman" w:cs="Times New Roman"/>
        </w:rPr>
        <w:t>研究</w:t>
      </w:r>
      <w:r>
        <w:rPr>
          <w:rFonts w:ascii="Times New Roman" w:hAnsi="Times New Roman" w:cs="Times New Roman"/>
        </w:rPr>
        <w:t>生享有五险的比例有所</w:t>
      </w:r>
      <w:r>
        <w:rPr>
          <w:rFonts w:hint="eastAsia" w:ascii="Times New Roman" w:hAnsi="Times New Roman" w:cs="Times New Roman"/>
        </w:rPr>
        <w:t>升高</w:t>
      </w:r>
      <w:r>
        <w:rPr>
          <w:rFonts w:ascii="Times New Roman" w:hAnsi="Times New Roman" w:cs="Times New Roman"/>
        </w:rPr>
        <w:t>，而没有五险</w:t>
      </w:r>
      <w:r>
        <w:rPr>
          <w:rFonts w:hint="eastAsia" w:ascii="Times New Roman" w:hAnsi="Times New Roman" w:cs="Times New Roman"/>
        </w:rPr>
        <w:t>以及</w:t>
      </w:r>
      <w:r>
        <w:rPr>
          <w:rFonts w:ascii="Times New Roman" w:hAnsi="Times New Roman" w:cs="Times New Roman"/>
        </w:rPr>
        <w:t>五险不全的比例有所</w:t>
      </w:r>
      <w:r>
        <w:rPr>
          <w:rFonts w:hint="eastAsia" w:ascii="Times New Roman" w:hAnsi="Times New Roman" w:cs="Times New Roman"/>
        </w:rPr>
        <w:t>下降</w:t>
      </w:r>
      <w:r>
        <w:rPr>
          <w:rFonts w:ascii="Times New Roman" w:hAnsi="Times New Roman" w:cs="Times New Roman"/>
        </w:rPr>
        <w:t>。</w:t>
      </w:r>
    </w:p>
    <w:p>
      <w:pPr>
        <w:pStyle w:val="41"/>
        <w:ind w:firstLine="480"/>
        <w:jc w:val="center"/>
      </w:pPr>
      <w:r>
        <w:rPr>
          <w:rFonts w:hint="eastAsia"/>
        </w:rPr>
        <w:drawing>
          <wp:inline distT="0" distB="0" distL="0" distR="0">
            <wp:extent cx="4780280" cy="2440940"/>
            <wp:effectExtent l="19050" t="0" r="19709" b="0"/>
            <wp:docPr id="45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pPr>
        <w:pStyle w:val="107"/>
        <w:spacing w:before="156" w:after="312"/>
      </w:pPr>
      <w:r>
        <w:rPr>
          <w:rFonts w:hint="eastAsia"/>
        </w:rPr>
        <w:t>2016届</w:t>
      </w:r>
      <w:r>
        <w:t>与</w:t>
      </w:r>
      <w:r>
        <w:rPr>
          <w:rFonts w:hint="eastAsia"/>
        </w:rPr>
        <w:t>2017届研究</w:t>
      </w:r>
      <w:r>
        <w:t>生享受五险情况对比</w:t>
      </w:r>
    </w:p>
    <w:p>
      <w:pPr>
        <w:pStyle w:val="41"/>
        <w:ind w:firstLine="480"/>
      </w:pPr>
    </w:p>
    <w:p>
      <w:pPr>
        <w:pStyle w:val="70"/>
        <w:spacing w:before="156" w:after="156"/>
        <w:ind w:left="360"/>
      </w:pPr>
      <w:r>
        <w:rPr>
          <w:rFonts w:hint="eastAsia"/>
        </w:rPr>
        <w:t>（2）公积金</w:t>
      </w:r>
    </w:p>
    <w:p>
      <w:pPr>
        <w:pStyle w:val="123"/>
        <w:ind w:firstLine="480"/>
      </w:pPr>
      <w:bookmarkStart w:id="366" w:name="PO_332721"/>
      <w:bookmarkEnd w:id="366"/>
      <w:r>
        <w:rPr>
          <w:rFonts w:hint="eastAsia"/>
        </w:rPr>
        <w:t>从研究生落实工作的公积金情况看，有公积金的研究生占80.00%，没有公积金的占20.00%。</w:t>
      </w:r>
    </w:p>
    <w:p>
      <w:pPr>
        <w:jc w:val="center"/>
      </w:pPr>
      <w:bookmarkStart w:id="367" w:name="PO_332722"/>
      <w:bookmarkEnd w:id="367"/>
      <w:r>
        <w:rPr>
          <w:rFonts w:hint="eastAsia"/>
        </w:rPr>
        <w:drawing>
          <wp:inline distT="0" distB="0" distL="0" distR="0">
            <wp:extent cx="5274310" cy="2426335"/>
            <wp:effectExtent l="19050" t="0" r="21590" b="0"/>
            <wp:docPr id="39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pPr>
        <w:pStyle w:val="107"/>
        <w:spacing w:before="156" w:after="312"/>
      </w:pPr>
      <w:r>
        <w:rPr>
          <w:rFonts w:hint="eastAsia"/>
        </w:rPr>
        <w:t>研究生落实工作的公积金情况</w:t>
      </w:r>
    </w:p>
    <w:p>
      <w:pPr>
        <w:spacing w:line="360" w:lineRule="auto"/>
        <w:ind w:firstLine="482" w:firstLineChars="200"/>
        <w:rPr>
          <w:rFonts w:ascii="Times New Roman" w:hAnsi="Times New Roman" w:cs="Times New Roman"/>
        </w:rPr>
      </w:pPr>
      <w:bookmarkStart w:id="368" w:name="_Hlk497402251"/>
      <w:r>
        <w:rPr>
          <w:rFonts w:ascii="Times New Roman" w:hAnsi="Times New Roman" w:cs="Times New Roman"/>
          <w:b/>
        </w:rPr>
        <w:t>与2016届相比而言，</w:t>
      </w:r>
      <w:r>
        <w:rPr>
          <w:rFonts w:hint="eastAsia"/>
        </w:rPr>
        <w:t>2017届</w:t>
      </w:r>
      <w:r>
        <w:rPr>
          <w:rFonts w:hint="eastAsia" w:ascii="Times New Roman" w:hAnsi="Times New Roman" w:cs="Times New Roman"/>
        </w:rPr>
        <w:t>研究</w:t>
      </w:r>
      <w:r>
        <w:rPr>
          <w:rFonts w:ascii="Times New Roman" w:hAnsi="Times New Roman" w:cs="Times New Roman"/>
        </w:rPr>
        <w:t>生享受公积金的比例</w:t>
      </w:r>
      <w:r>
        <w:rPr>
          <w:rFonts w:hint="eastAsia" w:ascii="Times New Roman" w:hAnsi="Times New Roman" w:cs="Times New Roman"/>
        </w:rPr>
        <w:t>略有增加</w:t>
      </w:r>
      <w:r>
        <w:rPr>
          <w:rFonts w:ascii="Times New Roman" w:hAnsi="Times New Roman" w:cs="Times New Roman"/>
        </w:rPr>
        <w:t>。</w:t>
      </w:r>
    </w:p>
    <w:p>
      <w:pPr>
        <w:jc w:val="center"/>
      </w:pPr>
      <w:r>
        <w:rPr>
          <w:rFonts w:hint="eastAsia"/>
        </w:rPr>
        <w:drawing>
          <wp:inline distT="0" distB="0" distL="0" distR="0">
            <wp:extent cx="4380230" cy="2484120"/>
            <wp:effectExtent l="19050" t="0" r="20128" b="0"/>
            <wp:docPr id="45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pPr>
        <w:pStyle w:val="107"/>
        <w:spacing w:before="156" w:after="312"/>
      </w:pPr>
      <w:r>
        <w:rPr>
          <w:rFonts w:hint="eastAsia"/>
        </w:rPr>
        <w:t>2016届</w:t>
      </w:r>
      <w:r>
        <w:t>与</w:t>
      </w:r>
      <w:r>
        <w:rPr>
          <w:rFonts w:hint="eastAsia"/>
        </w:rPr>
        <w:t>2017届研究生</w:t>
      </w:r>
      <w:r>
        <w:t>享受公积金情况对比</w:t>
      </w:r>
    </w:p>
    <w:bookmarkEnd w:id="368"/>
    <w:p>
      <w:pPr>
        <w:pStyle w:val="123"/>
        <w:ind w:firstLine="480"/>
      </w:pPr>
    </w:p>
    <w:p>
      <w:pPr>
        <w:pStyle w:val="67"/>
        <w:spacing w:before="156" w:after="156"/>
        <w:ind w:left="240"/>
      </w:pPr>
      <w:bookmarkStart w:id="369" w:name="_Toc486857526"/>
      <w:r>
        <w:rPr>
          <w:rFonts w:hint="eastAsia"/>
        </w:rPr>
        <w:t>8.发展前景</w:t>
      </w:r>
      <w:bookmarkEnd w:id="369"/>
    </w:p>
    <w:p>
      <w:pPr>
        <w:pStyle w:val="70"/>
        <w:spacing w:before="156" w:after="156"/>
        <w:ind w:left="360"/>
      </w:pPr>
      <w:r>
        <w:rPr>
          <w:rFonts w:hint="eastAsia"/>
        </w:rPr>
        <w:t>（1）发展空间</w:t>
      </w:r>
    </w:p>
    <w:p>
      <w:pPr>
        <w:pStyle w:val="123"/>
        <w:ind w:firstLine="480"/>
      </w:pPr>
      <w:bookmarkStart w:id="370" w:name="PO_332811"/>
      <w:bookmarkEnd w:id="370"/>
      <w:r>
        <w:rPr>
          <w:rFonts w:hint="eastAsia"/>
        </w:rPr>
        <w:t>从落实工作的发展空间看，70.00%的研究生认为工作发展空间“很大”或“大”，3.34%的研究生则表示“小”或“很小”。</w:t>
      </w:r>
    </w:p>
    <w:p>
      <w:pPr>
        <w:jc w:val="center"/>
      </w:pPr>
      <w:bookmarkStart w:id="371" w:name="PO_332812"/>
      <w:bookmarkEnd w:id="371"/>
      <w:r>
        <w:rPr>
          <w:rFonts w:hint="eastAsia"/>
        </w:rPr>
        <w:drawing>
          <wp:inline distT="0" distB="0" distL="0" distR="0">
            <wp:extent cx="5007610" cy="2286000"/>
            <wp:effectExtent l="0" t="0" r="2540" b="0"/>
            <wp:docPr id="39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pPr>
        <w:pStyle w:val="107"/>
        <w:spacing w:before="156" w:after="312"/>
      </w:pPr>
      <w:r>
        <w:rPr>
          <w:rFonts w:hint="eastAsia"/>
        </w:rPr>
        <w:t>研究生发展空间情况</w:t>
      </w:r>
    </w:p>
    <w:p>
      <w:pPr>
        <w:pStyle w:val="41"/>
        <w:ind w:firstLine="482"/>
        <w:rPr>
          <w:rFonts w:asciiTheme="minorEastAsia" w:hAnsiTheme="minorEastAsia" w:eastAsiaTheme="minorEastAsia"/>
        </w:rPr>
      </w:pPr>
      <w:r>
        <w:rPr>
          <w:rFonts w:hint="eastAsia"/>
          <w:b/>
        </w:rPr>
        <w:t>与2016届</w:t>
      </w:r>
      <w:r>
        <w:rPr>
          <w:b/>
        </w:rPr>
        <w:t>相比，</w:t>
      </w:r>
      <w:r>
        <w:rPr>
          <w:rFonts w:hint="eastAsia"/>
        </w:rPr>
        <w:t>2017届研究</w:t>
      </w:r>
      <w:r>
        <w:t>生</w:t>
      </w:r>
      <w:r>
        <w:rPr>
          <w:rFonts w:hint="eastAsia"/>
        </w:rPr>
        <w:t>认为有</w:t>
      </w:r>
      <w:r>
        <w:t>发展空</w:t>
      </w:r>
      <w:r>
        <w:rPr>
          <w:rFonts w:asciiTheme="minorEastAsia" w:hAnsiTheme="minorEastAsia" w:eastAsiaTheme="minorEastAsia"/>
        </w:rPr>
        <w:t>间</w:t>
      </w:r>
      <w:r>
        <w:rPr>
          <w:rFonts w:hint="eastAsia" w:asciiTheme="minorEastAsia" w:hAnsiTheme="minorEastAsia" w:eastAsiaTheme="minorEastAsia"/>
        </w:rPr>
        <w:t>（包括</w:t>
      </w:r>
      <w:r>
        <w:rPr>
          <w:rFonts w:asciiTheme="minorEastAsia" w:hAnsiTheme="minorEastAsia" w:eastAsiaTheme="minorEastAsia"/>
        </w:rPr>
        <w:t>“</w:t>
      </w:r>
      <w:r>
        <w:rPr>
          <w:rFonts w:hint="eastAsia" w:asciiTheme="minorEastAsia" w:hAnsiTheme="minorEastAsia" w:eastAsiaTheme="minorEastAsia"/>
        </w:rPr>
        <w:t>很大</w:t>
      </w:r>
      <w:r>
        <w:rPr>
          <w:rFonts w:asciiTheme="minorEastAsia" w:hAnsiTheme="minorEastAsia" w:eastAsiaTheme="minorEastAsia"/>
        </w:rPr>
        <w:t>”</w:t>
      </w:r>
      <w:r>
        <w:rPr>
          <w:rFonts w:hint="eastAsia" w:asciiTheme="minorEastAsia" w:hAnsiTheme="minorEastAsia" w:eastAsiaTheme="minorEastAsia"/>
        </w:rPr>
        <w:t>和“大”）的比例（70.00%）高于2016届（64.28%）。</w:t>
      </w:r>
    </w:p>
    <w:p>
      <w:pPr>
        <w:pStyle w:val="41"/>
        <w:ind w:firstLine="480"/>
        <w:jc w:val="center"/>
      </w:pPr>
      <w:r>
        <w:rPr>
          <w:rFonts w:hint="eastAsia"/>
        </w:rPr>
        <w:drawing>
          <wp:inline distT="0" distB="0" distL="0" distR="0">
            <wp:extent cx="5132705" cy="2570480"/>
            <wp:effectExtent l="0" t="0" r="0" b="0"/>
            <wp:docPr id="46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pPr>
        <w:pStyle w:val="107"/>
        <w:spacing w:before="156" w:after="312"/>
      </w:pPr>
      <w:r>
        <w:rPr>
          <w:rFonts w:hint="eastAsia"/>
        </w:rPr>
        <w:t>2016届</w:t>
      </w:r>
      <w:r>
        <w:t>与</w:t>
      </w:r>
      <w:r>
        <w:rPr>
          <w:rFonts w:hint="eastAsia"/>
        </w:rPr>
        <w:t>2017届研究</w:t>
      </w:r>
      <w:r>
        <w:t>生</w:t>
      </w:r>
      <w:r>
        <w:rPr>
          <w:rFonts w:hint="eastAsia"/>
        </w:rPr>
        <w:t>发展</w:t>
      </w:r>
      <w:r>
        <w:t>空间情况对比</w:t>
      </w:r>
    </w:p>
    <w:p>
      <w:pPr>
        <w:pStyle w:val="41"/>
        <w:ind w:firstLine="480"/>
      </w:pPr>
    </w:p>
    <w:p>
      <w:pPr>
        <w:pStyle w:val="70"/>
        <w:spacing w:before="156" w:after="156"/>
        <w:ind w:left="360"/>
      </w:pPr>
      <w:r>
        <w:rPr>
          <w:rFonts w:hint="eastAsia"/>
        </w:rPr>
        <w:t>（</w:t>
      </w:r>
      <w:r>
        <w:t>2</w:t>
      </w:r>
      <w:r>
        <w:rPr>
          <w:rFonts w:hint="eastAsia"/>
        </w:rPr>
        <w:t>）发展路径</w:t>
      </w:r>
    </w:p>
    <w:p>
      <w:pPr>
        <w:pStyle w:val="123"/>
        <w:ind w:firstLine="480"/>
      </w:pPr>
      <w:bookmarkStart w:id="372" w:name="PO_332821"/>
      <w:bookmarkEnd w:id="372"/>
      <w:r>
        <w:rPr>
          <w:rFonts w:hint="eastAsia"/>
        </w:rPr>
        <w:t>从落实工作的发展路径看，表示发展路径“很清晰”或“清晰”的研究生占73.33%，1.67%的研究生则表示“很不清晰”。</w:t>
      </w:r>
    </w:p>
    <w:p>
      <w:pPr>
        <w:jc w:val="center"/>
      </w:pPr>
      <w:bookmarkStart w:id="373" w:name="PO_332822"/>
      <w:bookmarkEnd w:id="373"/>
      <w:r>
        <w:rPr>
          <w:rFonts w:hint="eastAsia"/>
        </w:rPr>
        <w:drawing>
          <wp:inline distT="0" distB="0" distL="0" distR="0">
            <wp:extent cx="5007610" cy="2286000"/>
            <wp:effectExtent l="0" t="0" r="2540" b="0"/>
            <wp:docPr id="40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pPr>
        <w:pStyle w:val="107"/>
        <w:spacing w:before="156" w:after="312"/>
      </w:pPr>
      <w:r>
        <w:rPr>
          <w:rFonts w:hint="eastAsia"/>
        </w:rPr>
        <w:t>研究生发展路径情况</w:t>
      </w:r>
    </w:p>
    <w:p>
      <w:pPr>
        <w:pStyle w:val="67"/>
        <w:spacing w:before="156" w:after="156"/>
        <w:ind w:left="240"/>
      </w:pPr>
      <w:bookmarkStart w:id="374" w:name="_Toc486857527"/>
      <w:r>
        <w:rPr>
          <w:rFonts w:hint="eastAsia"/>
        </w:rPr>
        <w:t>9.稳定性</w:t>
      </w:r>
      <w:bookmarkEnd w:id="374"/>
    </w:p>
    <w:p>
      <w:pPr>
        <w:pStyle w:val="123"/>
        <w:ind w:firstLine="480"/>
      </w:pPr>
      <w:bookmarkStart w:id="375" w:name="PO_33291"/>
      <w:bookmarkEnd w:id="375"/>
      <w:r>
        <w:rPr>
          <w:rFonts w:hint="eastAsia"/>
        </w:rPr>
        <w:t>从工作稳定性看，预期工作时间在1~3年的研究生比例最高，占41.67%，预期工作时间在1年以内及3年以上的比例各占23.33%和35.00%。</w:t>
      </w:r>
    </w:p>
    <w:p>
      <w:pPr>
        <w:jc w:val="center"/>
      </w:pPr>
      <w:bookmarkStart w:id="376" w:name="PO_33292"/>
      <w:bookmarkEnd w:id="376"/>
      <w:r>
        <w:rPr>
          <w:rFonts w:hint="eastAsia"/>
        </w:rPr>
        <w:drawing>
          <wp:inline distT="0" distB="0" distL="0" distR="0">
            <wp:extent cx="5210175" cy="2647950"/>
            <wp:effectExtent l="19050" t="0" r="9525" b="0"/>
            <wp:docPr id="40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pPr>
        <w:pStyle w:val="107"/>
        <w:spacing w:before="156" w:after="312"/>
      </w:pPr>
      <w:r>
        <w:rPr>
          <w:rFonts w:hint="eastAsia"/>
        </w:rPr>
        <w:t>研究生预期在落实单位工作时间</w:t>
      </w:r>
    </w:p>
    <w:p>
      <w:pPr>
        <w:pStyle w:val="41"/>
        <w:ind w:firstLine="482"/>
      </w:pPr>
      <w:r>
        <w:rPr>
          <w:rFonts w:hint="eastAsia"/>
          <w:b/>
        </w:rPr>
        <w:t>与2016届相比</w:t>
      </w:r>
      <w:r>
        <w:rPr>
          <w:b/>
        </w:rPr>
        <w:t>而言</w:t>
      </w:r>
      <w:r>
        <w:t>，</w:t>
      </w:r>
      <w:r>
        <w:rPr>
          <w:rFonts w:hint="eastAsia"/>
        </w:rPr>
        <w:t>2017届研究</w:t>
      </w:r>
      <w:r>
        <w:t>生</w:t>
      </w:r>
      <w:r>
        <w:rPr>
          <w:rFonts w:hint="eastAsia"/>
        </w:rPr>
        <w:t>预期</w:t>
      </w:r>
      <w:r>
        <w:t>工作时间在</w:t>
      </w:r>
      <w:r>
        <w:rPr>
          <w:rFonts w:hint="eastAsia"/>
        </w:rPr>
        <w:t>1年</w:t>
      </w:r>
      <w:r>
        <w:t>以内的比例有</w:t>
      </w:r>
      <w:r>
        <w:rPr>
          <w:rFonts w:hint="eastAsia"/>
        </w:rPr>
        <w:t>所下降，</w:t>
      </w:r>
      <w:r>
        <w:t>而</w:t>
      </w:r>
      <w:r>
        <w:rPr>
          <w:rFonts w:hint="eastAsia"/>
        </w:rPr>
        <w:t>预期</w:t>
      </w:r>
      <w:r>
        <w:t>工作时间在</w:t>
      </w:r>
      <w:r>
        <w:rPr>
          <w:rFonts w:hint="eastAsia"/>
        </w:rPr>
        <w:t>3年</w:t>
      </w:r>
      <w:r>
        <w:t>以上的比例有</w:t>
      </w:r>
      <w:r>
        <w:rPr>
          <w:rFonts w:hint="eastAsia"/>
        </w:rPr>
        <w:t>所升高</w:t>
      </w:r>
      <w:r>
        <w:t>。</w:t>
      </w:r>
    </w:p>
    <w:p>
      <w:pPr>
        <w:pStyle w:val="41"/>
        <w:ind w:firstLine="480"/>
        <w:jc w:val="center"/>
      </w:pPr>
      <w:r>
        <w:rPr>
          <w:rFonts w:hint="eastAsia"/>
        </w:rPr>
        <w:drawing>
          <wp:inline distT="0" distB="0" distL="0" distR="0">
            <wp:extent cx="5184140" cy="2570480"/>
            <wp:effectExtent l="0" t="0" r="0" b="0"/>
            <wp:docPr id="46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pPr>
        <w:pStyle w:val="107"/>
        <w:spacing w:before="156" w:after="312"/>
      </w:pPr>
      <w:r>
        <w:rPr>
          <w:rFonts w:hint="eastAsia"/>
        </w:rPr>
        <w:t>2016届</w:t>
      </w:r>
      <w:r>
        <w:t>与</w:t>
      </w:r>
      <w:r>
        <w:rPr>
          <w:rFonts w:hint="eastAsia"/>
        </w:rPr>
        <w:t>2017届研究</w:t>
      </w:r>
      <w:r>
        <w:t>生</w:t>
      </w:r>
      <w:r>
        <w:rPr>
          <w:rFonts w:hint="eastAsia"/>
        </w:rPr>
        <w:t>在</w:t>
      </w:r>
      <w:r>
        <w:t>落实单位的工作时间</w:t>
      </w:r>
      <w:r>
        <w:rPr>
          <w:rFonts w:hint="eastAsia"/>
        </w:rPr>
        <w:t>比较</w:t>
      </w:r>
    </w:p>
    <w:p>
      <w:pPr>
        <w:pStyle w:val="123"/>
        <w:ind w:firstLine="480"/>
      </w:pPr>
    </w:p>
    <w:p>
      <w:pPr>
        <w:pStyle w:val="67"/>
        <w:spacing w:before="156" w:after="156"/>
        <w:ind w:left="240"/>
      </w:pPr>
      <w:bookmarkStart w:id="377" w:name="_Toc486857528"/>
      <w:r>
        <w:rPr>
          <w:rFonts w:hint="eastAsia"/>
        </w:rPr>
        <w:t>10.人职匹配情况</w:t>
      </w:r>
      <w:bookmarkEnd w:id="377"/>
    </w:p>
    <w:p>
      <w:pPr>
        <w:pStyle w:val="70"/>
        <w:spacing w:before="156" w:after="156"/>
        <w:ind w:left="360"/>
      </w:pPr>
      <w:r>
        <w:rPr>
          <w:rFonts w:hint="eastAsia"/>
        </w:rPr>
        <w:t>（</w:t>
      </w:r>
      <w:r>
        <w:t>1</w:t>
      </w:r>
      <w:r>
        <w:rPr>
          <w:rFonts w:hint="eastAsia"/>
        </w:rPr>
        <w:t>）所学专业与工作的相关程度</w:t>
      </w:r>
    </w:p>
    <w:p>
      <w:pPr>
        <w:pStyle w:val="123"/>
        <w:ind w:firstLine="480"/>
      </w:pPr>
      <w:bookmarkStart w:id="378" w:name="PO_3321011"/>
      <w:bookmarkEnd w:id="378"/>
      <w:r>
        <w:rPr>
          <w:rFonts w:hint="eastAsia"/>
        </w:rPr>
        <w:t>对于专业与工作的相关度，表示目前的工作与所学专业匹配度“很相关”或“相关”的研究生占88.33%，认为专业匹配度“不相关”的研究生占3.33%。</w:t>
      </w:r>
    </w:p>
    <w:p>
      <w:pPr>
        <w:jc w:val="center"/>
      </w:pPr>
      <w:bookmarkStart w:id="379" w:name="PO_3321012"/>
      <w:bookmarkEnd w:id="379"/>
      <w:r>
        <w:rPr>
          <w:rFonts w:hint="eastAsia"/>
        </w:rPr>
        <w:drawing>
          <wp:inline distT="0" distB="0" distL="0" distR="0">
            <wp:extent cx="5007610" cy="2286000"/>
            <wp:effectExtent l="0" t="0" r="2540" b="0"/>
            <wp:docPr id="34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pPr>
        <w:pStyle w:val="107"/>
        <w:spacing w:before="156" w:after="312"/>
      </w:pPr>
      <w:r>
        <w:rPr>
          <w:rFonts w:hint="eastAsia"/>
        </w:rPr>
        <w:t>研究生所学专业与工作相关程度</w:t>
      </w:r>
    </w:p>
    <w:p>
      <w:pPr>
        <w:pStyle w:val="123"/>
        <w:ind w:firstLine="482"/>
      </w:pPr>
      <w:r>
        <w:rPr>
          <w:rFonts w:hint="eastAsia"/>
          <w:b/>
        </w:rPr>
        <w:t>就专业而言</w:t>
      </w:r>
      <w:r>
        <w:rPr>
          <w:rFonts w:hint="eastAsia"/>
        </w:rPr>
        <w:t>，</w:t>
      </w:r>
      <w:bookmarkStart w:id="380" w:name="PO_3321014"/>
      <w:bookmarkEnd w:id="380"/>
      <w:r>
        <w:t xml:space="preserve"> </w:t>
      </w:r>
      <w:r>
        <w:rPr>
          <w:rFonts w:hint="eastAsia"/>
        </w:rPr>
        <w:t>不同专业的硕士生对所学专业与工作相关程度的评价不存在显著差异（F=0.30，p&gt;0.05）。不同专业的博士生对所学专业与工作相关程度的评价不存在显著差异（F=1.26，p&gt;0.05）。</w:t>
      </w:r>
    </w:p>
    <w:p>
      <w:pPr>
        <w:jc w:val="center"/>
      </w:pPr>
      <w:r>
        <w:rPr>
          <w:rFonts w:hint="eastAsia"/>
        </w:rPr>
        <w:drawing>
          <wp:inline distT="0" distB="0" distL="0" distR="0">
            <wp:extent cx="5560060" cy="2113280"/>
            <wp:effectExtent l="19050" t="0" r="21206" b="1079"/>
            <wp:docPr id="48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pPr>
        <w:pStyle w:val="107"/>
        <w:spacing w:before="156" w:after="312"/>
      </w:pPr>
      <w:r>
        <w:rPr>
          <w:rFonts w:hint="eastAsia"/>
        </w:rPr>
        <w:t>不同专业硕士生所学专业与工作相关程度</w:t>
      </w:r>
    </w:p>
    <w:p>
      <w:pPr>
        <w:jc w:val="center"/>
      </w:pPr>
      <w:r>
        <w:rPr>
          <w:rFonts w:hint="eastAsia"/>
        </w:rPr>
        <w:drawing>
          <wp:inline distT="0" distB="0" distL="0" distR="0">
            <wp:extent cx="5558155" cy="1992630"/>
            <wp:effectExtent l="19050" t="0" r="23111" b="7549"/>
            <wp:docPr id="48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pPr>
        <w:pStyle w:val="107"/>
        <w:spacing w:before="156" w:after="312"/>
      </w:pPr>
      <w:r>
        <w:rPr>
          <w:rFonts w:hint="eastAsia"/>
        </w:rPr>
        <w:t>不同专业博士生所学专业与工作相关程度</w:t>
      </w:r>
    </w:p>
    <w:p>
      <w:pPr>
        <w:pStyle w:val="41"/>
        <w:ind w:firstLine="482"/>
      </w:pPr>
      <w:r>
        <w:rPr>
          <w:rFonts w:hint="eastAsia"/>
          <w:b/>
        </w:rPr>
        <w:t>与2016届</w:t>
      </w:r>
      <w:r>
        <w:rPr>
          <w:b/>
        </w:rPr>
        <w:t>相比</w:t>
      </w:r>
      <w:r>
        <w:t>，</w:t>
      </w:r>
      <w:r>
        <w:rPr>
          <w:rFonts w:hint="eastAsia"/>
        </w:rPr>
        <w:t>2017届研究</w:t>
      </w:r>
      <w:r>
        <w:t>生所学专</w:t>
      </w:r>
      <w:r>
        <w:rPr>
          <w:rFonts w:asciiTheme="minorEastAsia" w:hAnsiTheme="minorEastAsia" w:eastAsiaTheme="minorEastAsia"/>
        </w:rPr>
        <w:t>业与工作</w:t>
      </w:r>
      <w:r>
        <w:rPr>
          <w:rFonts w:hint="eastAsia" w:asciiTheme="minorEastAsia" w:hAnsiTheme="minorEastAsia" w:eastAsiaTheme="minorEastAsia"/>
        </w:rPr>
        <w:t>的</w:t>
      </w:r>
      <w:r>
        <w:rPr>
          <w:rFonts w:asciiTheme="minorEastAsia" w:hAnsiTheme="minorEastAsia" w:eastAsiaTheme="minorEastAsia"/>
        </w:rPr>
        <w:t>匹配程度</w:t>
      </w:r>
      <w:r>
        <w:rPr>
          <w:rFonts w:hint="eastAsia" w:asciiTheme="minorEastAsia" w:hAnsiTheme="minorEastAsia" w:eastAsiaTheme="minorEastAsia"/>
        </w:rPr>
        <w:t>，</w:t>
      </w:r>
      <w:r>
        <w:rPr>
          <w:rFonts w:asciiTheme="minorEastAsia" w:hAnsiTheme="minorEastAsia" w:eastAsiaTheme="minorEastAsia"/>
        </w:rPr>
        <w:t>表示“</w:t>
      </w:r>
      <w:r>
        <w:rPr>
          <w:rFonts w:hint="eastAsia" w:asciiTheme="minorEastAsia" w:hAnsiTheme="minorEastAsia" w:eastAsiaTheme="minorEastAsia"/>
        </w:rPr>
        <w:t>很相关</w:t>
      </w:r>
      <w:r>
        <w:rPr>
          <w:rFonts w:asciiTheme="minorEastAsia" w:hAnsiTheme="minorEastAsia" w:eastAsiaTheme="minorEastAsia"/>
        </w:rPr>
        <w:t>”“</w:t>
      </w:r>
      <w:r>
        <w:rPr>
          <w:rFonts w:hint="eastAsia" w:asciiTheme="minorEastAsia" w:hAnsiTheme="minorEastAsia" w:eastAsiaTheme="minorEastAsia"/>
        </w:rPr>
        <w:t>相关</w:t>
      </w:r>
      <w:r>
        <w:rPr>
          <w:rFonts w:asciiTheme="minorEastAsia" w:hAnsiTheme="minorEastAsia" w:eastAsiaTheme="minorEastAsia"/>
        </w:rPr>
        <w:t>”</w:t>
      </w:r>
      <w:r>
        <w:rPr>
          <w:rFonts w:hint="eastAsia" w:asciiTheme="minorEastAsia" w:hAnsiTheme="minorEastAsia" w:eastAsiaTheme="minorEastAsia"/>
        </w:rPr>
        <w:t>的</w:t>
      </w:r>
      <w:r>
        <w:rPr>
          <w:rFonts w:asciiTheme="minorEastAsia" w:hAnsiTheme="minorEastAsia" w:eastAsiaTheme="minorEastAsia"/>
        </w:rPr>
        <w:t>比</w:t>
      </w:r>
      <w:r>
        <w:t>例有所</w:t>
      </w:r>
      <w:r>
        <w:rPr>
          <w:rFonts w:hint="eastAsia"/>
        </w:rPr>
        <w:t>下降，而</w:t>
      </w:r>
      <w:r>
        <w:rPr>
          <w:rFonts w:hint="eastAsia" w:asciiTheme="minorEastAsia" w:hAnsiTheme="minorEastAsia" w:eastAsiaTheme="minorEastAsia"/>
        </w:rPr>
        <w:t>表示</w:t>
      </w:r>
      <w:r>
        <w:rPr>
          <w:rFonts w:asciiTheme="minorEastAsia" w:hAnsiTheme="minorEastAsia" w:eastAsiaTheme="minorEastAsia"/>
        </w:rPr>
        <w:t>“</w:t>
      </w:r>
      <w:r>
        <w:rPr>
          <w:rFonts w:hint="eastAsia" w:asciiTheme="minorEastAsia" w:hAnsiTheme="minorEastAsia" w:eastAsiaTheme="minorEastAsia"/>
        </w:rPr>
        <w:t>不好说</w:t>
      </w:r>
      <w:r>
        <w:rPr>
          <w:rFonts w:asciiTheme="minorEastAsia" w:hAnsiTheme="minorEastAsia" w:eastAsiaTheme="minorEastAsia"/>
        </w:rPr>
        <w:t>”“</w:t>
      </w:r>
      <w:r>
        <w:rPr>
          <w:rFonts w:hint="eastAsia" w:asciiTheme="minorEastAsia" w:hAnsiTheme="minorEastAsia" w:eastAsiaTheme="minorEastAsia"/>
        </w:rPr>
        <w:t>不相关</w:t>
      </w:r>
      <w:r>
        <w:rPr>
          <w:rFonts w:asciiTheme="minorEastAsia" w:hAnsiTheme="minorEastAsia" w:eastAsiaTheme="minorEastAsia"/>
        </w:rPr>
        <w:t>”</w:t>
      </w:r>
      <w:r>
        <w:rPr>
          <w:rFonts w:hint="eastAsia" w:asciiTheme="minorEastAsia" w:hAnsiTheme="minorEastAsia" w:eastAsiaTheme="minorEastAsia"/>
        </w:rPr>
        <w:t>的</w:t>
      </w:r>
      <w:r>
        <w:rPr>
          <w:rFonts w:asciiTheme="minorEastAsia" w:hAnsiTheme="minorEastAsia" w:eastAsiaTheme="minorEastAsia"/>
        </w:rPr>
        <w:t>比例有所升高</w:t>
      </w:r>
      <w:r>
        <w:rPr>
          <w:rFonts w:hint="eastAsia"/>
        </w:rPr>
        <w:t>。</w:t>
      </w:r>
    </w:p>
    <w:p>
      <w:pPr>
        <w:pStyle w:val="41"/>
        <w:ind w:firstLine="480"/>
      </w:pPr>
      <w:r>
        <w:rPr>
          <w:rFonts w:hint="eastAsia"/>
        </w:rPr>
        <w:drawing>
          <wp:inline distT="0" distB="0" distL="0" distR="0">
            <wp:extent cx="5705475" cy="2571750"/>
            <wp:effectExtent l="0" t="0" r="0" b="0"/>
            <wp:docPr id="46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pPr>
        <w:pStyle w:val="107"/>
        <w:spacing w:before="156" w:after="312"/>
      </w:pPr>
      <w:r>
        <w:rPr>
          <w:rFonts w:hint="eastAsia"/>
        </w:rPr>
        <w:t>2016届</w:t>
      </w:r>
      <w:r>
        <w:t>与</w:t>
      </w:r>
      <w:r>
        <w:rPr>
          <w:rFonts w:hint="eastAsia"/>
        </w:rPr>
        <w:t>2017届研究</w:t>
      </w:r>
      <w:r>
        <w:t>生所学专业与工作相关程度的</w:t>
      </w:r>
      <w:r>
        <w:rPr>
          <w:rFonts w:hint="eastAsia"/>
        </w:rPr>
        <w:t>比较</w:t>
      </w:r>
    </w:p>
    <w:p>
      <w:pPr>
        <w:pStyle w:val="41"/>
        <w:ind w:firstLine="480"/>
      </w:pPr>
    </w:p>
    <w:p>
      <w:pPr>
        <w:pStyle w:val="70"/>
        <w:spacing w:before="156" w:after="156"/>
        <w:ind w:left="360"/>
      </w:pPr>
      <w:r>
        <w:rPr>
          <w:rFonts w:hint="eastAsia"/>
        </w:rPr>
        <w:t>（2）教育层次与工作的适配情况</w:t>
      </w:r>
    </w:p>
    <w:p>
      <w:pPr>
        <w:pStyle w:val="123"/>
        <w:ind w:firstLine="480"/>
      </w:pPr>
      <w:bookmarkStart w:id="381" w:name="PO_3321021"/>
      <w:bookmarkEnd w:id="381"/>
      <w:r>
        <w:rPr>
          <w:rFonts w:hint="eastAsia"/>
        </w:rPr>
        <w:t>从教育层次与岗位要求的匹配程度看，58.33%的研究生认为教育层次恰好满足岗位要求，认为教育层次高于岗位要求的占36.67%，认为教育层次低于岗位要求的占5.00%。</w:t>
      </w:r>
    </w:p>
    <w:p>
      <w:pPr>
        <w:jc w:val="center"/>
      </w:pPr>
      <w:bookmarkStart w:id="382" w:name="PO_3321022"/>
      <w:bookmarkEnd w:id="382"/>
      <w:r>
        <w:rPr>
          <w:rFonts w:hint="eastAsia"/>
        </w:rPr>
        <w:drawing>
          <wp:inline distT="0" distB="0" distL="0" distR="0">
            <wp:extent cx="5274310" cy="2426335"/>
            <wp:effectExtent l="19050" t="0" r="21590" b="0"/>
            <wp:docPr id="34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pPr>
        <w:pStyle w:val="107"/>
        <w:spacing w:before="156" w:after="312"/>
      </w:pPr>
      <w:r>
        <w:rPr>
          <w:rFonts w:hint="eastAsia"/>
        </w:rPr>
        <w:t>研究生教育层次与工作的适配情况</w:t>
      </w:r>
    </w:p>
    <w:p>
      <w:pPr>
        <w:pStyle w:val="123"/>
        <w:ind w:firstLine="482"/>
      </w:pPr>
      <w:r>
        <w:rPr>
          <w:rFonts w:hint="eastAsia"/>
          <w:b/>
        </w:rPr>
        <w:t>就专业而言</w:t>
      </w:r>
      <w:r>
        <w:rPr>
          <w:rFonts w:hint="eastAsia"/>
        </w:rPr>
        <w:t>，</w:t>
      </w:r>
      <w:bookmarkStart w:id="383" w:name="PO_3321024"/>
      <w:bookmarkEnd w:id="383"/>
      <w:r>
        <w:rPr>
          <w:rFonts w:hint="eastAsia"/>
        </w:rPr>
        <w:t>卡方检验显示，不同专业硕士生的教育层次与工作适配情况不存在显著差异（</w:t>
      </w:r>
      <m:oMath>
        <m:sSup>
          <m:sSupPr>
            <m:ctrlPr>
              <w:rPr>
                <w:rFonts w:ascii="Cambria Math" w:hAnsi="Cambria Math"/>
              </w:rPr>
            </m:ctrlPr>
          </m:sSupPr>
          <m:e>
            <m:r>
              <w:rPr>
                <w:rFonts w:ascii="Cambria Math" w:hAnsi="Cambria Math"/>
              </w:rPr>
              <m:t>χ</m:t>
            </m:r>
            <m:ctrlPr>
              <w:rPr>
                <w:rFonts w:ascii="Cambria Math" w:hAnsi="Cambria Math"/>
              </w:rPr>
            </m:ctrlPr>
          </m:e>
          <m:sup>
            <m:r>
              <w:rPr>
                <w:rFonts w:ascii="Cambria Math" w:hAnsi="Cambria Math"/>
              </w:rPr>
              <m:t>2</m:t>
            </m:r>
            <m:ctrlPr>
              <w:rPr>
                <w:rFonts w:ascii="Cambria Math" w:hAnsi="Cambria Math"/>
              </w:rPr>
            </m:ctrlPr>
          </m:sup>
        </m:sSup>
      </m:oMath>
      <w:r>
        <w:rPr>
          <w:rFonts w:hint="eastAsia"/>
        </w:rPr>
        <w:t>=6.49，p&gt;0.05）。不同专业博士生的教育层次与工作适配情况不存在显著差异（</w:t>
      </w:r>
      <m:oMath>
        <m:sSup>
          <m:sSupPr>
            <m:ctrlPr>
              <w:rPr>
                <w:rFonts w:ascii="Cambria Math" w:hAnsi="Cambria Math"/>
              </w:rPr>
            </m:ctrlPr>
          </m:sSupPr>
          <m:e>
            <m:r>
              <w:rPr>
                <w:rFonts w:ascii="Cambria Math" w:hAnsi="Cambria Math"/>
              </w:rPr>
              <m:t>χ</m:t>
            </m:r>
            <m:ctrlPr>
              <w:rPr>
                <w:rFonts w:ascii="Cambria Math" w:hAnsi="Cambria Math"/>
              </w:rPr>
            </m:ctrlPr>
          </m:e>
          <m:sup>
            <m:r>
              <w:rPr>
                <w:rFonts w:ascii="Cambria Math" w:hAnsi="Cambria Math"/>
              </w:rPr>
              <m:t>2</m:t>
            </m:r>
            <m:ctrlPr>
              <w:rPr>
                <w:rFonts w:ascii="Cambria Math" w:hAnsi="Cambria Math"/>
              </w:rPr>
            </m:ctrlPr>
          </m:sup>
        </m:sSup>
      </m:oMath>
      <w:r>
        <w:rPr>
          <w:rFonts w:hint="eastAsia"/>
        </w:rPr>
        <w:t>=3.11，p&gt;0.05）。</w:t>
      </w:r>
    </w:p>
    <w:p>
      <w:pPr>
        <w:pStyle w:val="55"/>
        <w:spacing w:before="312" w:after="156"/>
      </w:pPr>
      <w:r>
        <w:t xml:space="preserve"> </w:t>
      </w:r>
      <w:r>
        <w:rPr>
          <w:rFonts w:hint="eastAsia"/>
        </w:rPr>
        <w:t>不同专业硕士生教育层次与工作的适配情况（%）</w:t>
      </w:r>
    </w:p>
    <w:tbl>
      <w:tblPr>
        <w:tblStyle w:val="125"/>
        <w:tblW w:w="5725" w:type="dxa"/>
        <w:jc w:val="center"/>
        <w:tblInd w:w="2438"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2594"/>
        <w:gridCol w:w="993"/>
        <w:gridCol w:w="1134"/>
        <w:gridCol w:w="1004"/>
      </w:tblGrid>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504" w:hRule="atLeast"/>
          <w:jc w:val="center"/>
        </w:trPr>
        <w:tc>
          <w:tcPr>
            <w:tcW w:w="2594" w:type="dxa"/>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hint="eastAsia" w:cs="Times New Roman"/>
                <w:b/>
                <w:bCs/>
                <w:color w:val="FFFFFF" w:themeColor="background1"/>
                <w:kern w:val="0"/>
                <w:sz w:val="21"/>
                <w:szCs w:val="21"/>
              </w:rPr>
              <w:t>专业</w:t>
            </w:r>
          </w:p>
        </w:tc>
        <w:tc>
          <w:tcPr>
            <w:tcW w:w="993" w:type="dxa"/>
            <w:tcBorders>
              <w:top w:val="single" w:color="4BACC6" w:themeColor="accent5" w:sz="4" w:space="0"/>
              <w:bottom w:val="single" w:color="4BACC6" w:themeColor="accent5" w:sz="4" w:space="0"/>
              <w:right w:val="nil"/>
              <w:insideH w:val="single" w:sz="4" w:space="0"/>
              <w:insideV w:val="nil"/>
            </w:tcBorders>
            <w:shd w:val="clear" w:color="auto" w:fill="4BACC6" w:themeFill="accent5"/>
          </w:tcPr>
          <w:p>
            <w:pPr>
              <w:widowControl/>
              <w:jc w:val="center"/>
              <w:rPr>
                <w:rFonts w:cs="Times New Roman"/>
                <w:b/>
                <w:bCs/>
                <w:color w:val="FFFFFF" w:themeColor="background1"/>
                <w:kern w:val="0"/>
                <w:sz w:val="21"/>
                <w:szCs w:val="21"/>
              </w:rPr>
            </w:pPr>
            <w:r>
              <w:rPr>
                <w:rFonts w:hint="eastAsia"/>
                <w:b/>
                <w:bCs/>
                <w:color w:val="FFFFFF" w:themeColor="background1"/>
                <w:sz w:val="21"/>
              </w:rPr>
              <w:t>高于岗位要求</w:t>
            </w:r>
          </w:p>
        </w:tc>
        <w:tc>
          <w:tcPr>
            <w:tcW w:w="1134" w:type="dxa"/>
            <w:tcBorders>
              <w:top w:val="single" w:color="4BACC6" w:themeColor="accent5" w:sz="4" w:space="0"/>
              <w:bottom w:val="single" w:color="4BACC6" w:themeColor="accent5" w:sz="4" w:space="0"/>
              <w:right w:val="nil"/>
              <w:insideH w:val="single" w:sz="4" w:space="0"/>
              <w:insideV w:val="nil"/>
            </w:tcBorders>
            <w:shd w:val="clear" w:color="auto" w:fill="4BACC6" w:themeFill="accent5"/>
          </w:tcPr>
          <w:p>
            <w:pPr>
              <w:widowControl/>
              <w:jc w:val="center"/>
              <w:rPr>
                <w:rFonts w:cs="Times New Roman"/>
                <w:b/>
                <w:bCs/>
                <w:color w:val="FFFFFF" w:themeColor="background1"/>
                <w:kern w:val="0"/>
                <w:sz w:val="21"/>
                <w:szCs w:val="21"/>
              </w:rPr>
            </w:pPr>
            <w:r>
              <w:rPr>
                <w:rFonts w:hint="eastAsia"/>
                <w:b/>
                <w:bCs/>
                <w:color w:val="FFFFFF" w:themeColor="background1"/>
                <w:sz w:val="21"/>
              </w:rPr>
              <w:t>恰好满足岗位要求</w:t>
            </w:r>
          </w:p>
        </w:tc>
        <w:tc>
          <w:tcPr>
            <w:tcW w:w="1004" w:type="dxa"/>
            <w:tcBorders>
              <w:top w:val="single" w:color="4BACC6" w:themeColor="accent5" w:sz="4" w:space="0"/>
              <w:bottom w:val="single" w:color="4BACC6" w:themeColor="accent5" w:sz="4" w:space="0"/>
              <w:right w:val="single" w:color="4BACC6" w:themeColor="accent5" w:sz="4" w:space="0"/>
              <w:insideH w:val="single" w:sz="4" w:space="0"/>
              <w:insideV w:val="nil"/>
            </w:tcBorders>
            <w:shd w:val="clear" w:color="auto" w:fill="4BACC6" w:themeFill="accent5"/>
          </w:tcPr>
          <w:p>
            <w:pPr>
              <w:widowControl/>
              <w:jc w:val="center"/>
              <w:rPr>
                <w:rFonts w:cs="Times New Roman"/>
                <w:b/>
                <w:bCs/>
                <w:color w:val="FFFFFF" w:themeColor="background1"/>
                <w:kern w:val="0"/>
                <w:sz w:val="21"/>
                <w:szCs w:val="21"/>
              </w:rPr>
            </w:pPr>
            <w:r>
              <w:rPr>
                <w:rFonts w:hint="eastAsia"/>
                <w:b/>
                <w:bCs/>
                <w:color w:val="FFFFFF" w:themeColor="background1"/>
                <w:sz w:val="21"/>
              </w:rPr>
              <w:t>低于岗位要求</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9" w:hRule="atLeast"/>
          <w:jc w:val="center"/>
        </w:trPr>
        <w:tc>
          <w:tcPr>
            <w:tcW w:w="2594" w:type="dxa"/>
            <w:shd w:val="clear" w:color="auto" w:fill="DAEEF3" w:themeFill="accent5" w:themeFillTint="33"/>
            <w:vAlign w:val="center"/>
          </w:tcPr>
          <w:p>
            <w:pPr>
              <w:widowControl/>
              <w:rPr>
                <w:rFonts w:ascii="Times New Roman" w:hAnsi="Times New Roman" w:cs="Times New Roman"/>
                <w:b/>
                <w:bCs/>
                <w:color w:val="000000"/>
                <w:kern w:val="0"/>
                <w:sz w:val="21"/>
                <w:szCs w:val="21"/>
              </w:rPr>
            </w:pPr>
            <w:r>
              <w:rPr>
                <w:rFonts w:hint="eastAsia" w:ascii="宋体" w:eastAsia="宋体" w:cs="宋体"/>
                <w:b/>
                <w:bCs/>
                <w:color w:val="000000"/>
                <w:kern w:val="0"/>
                <w:sz w:val="21"/>
                <w:szCs w:val="21"/>
              </w:rPr>
              <w:t>戏剧</w:t>
            </w:r>
          </w:p>
        </w:tc>
        <w:tc>
          <w:tcPr>
            <w:tcW w:w="993"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sz w:val="21"/>
              </w:rPr>
              <w:t>53.33</w:t>
            </w:r>
          </w:p>
        </w:tc>
        <w:tc>
          <w:tcPr>
            <w:tcW w:w="1134"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46.67</w:t>
            </w:r>
          </w:p>
        </w:tc>
        <w:tc>
          <w:tcPr>
            <w:tcW w:w="1004"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9" w:hRule="atLeast"/>
          <w:jc w:val="center"/>
        </w:trPr>
        <w:tc>
          <w:tcPr>
            <w:tcW w:w="2594" w:type="dxa"/>
            <w:vAlign w:val="center"/>
          </w:tcPr>
          <w:p>
            <w:pPr>
              <w:widowControl/>
              <w:rPr>
                <w:rFonts w:ascii="Times New Roman" w:hAnsi="Times New Roman" w:cs="Times New Roman"/>
                <w:b/>
                <w:bCs/>
                <w:color w:val="000000"/>
                <w:kern w:val="0"/>
                <w:sz w:val="21"/>
                <w:szCs w:val="21"/>
              </w:rPr>
            </w:pPr>
            <w:r>
              <w:rPr>
                <w:rFonts w:hint="eastAsia" w:ascii="宋体" w:eastAsia="宋体" w:cs="宋体"/>
                <w:b/>
                <w:bCs/>
                <w:color w:val="000000"/>
                <w:kern w:val="0"/>
                <w:sz w:val="21"/>
                <w:szCs w:val="21"/>
              </w:rPr>
              <w:t>戏剧与影视学</w:t>
            </w:r>
          </w:p>
        </w:tc>
        <w:tc>
          <w:tcPr>
            <w:tcW w:w="993"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sz w:val="21"/>
              </w:rPr>
              <w:t>24.00</w:t>
            </w:r>
          </w:p>
        </w:tc>
        <w:tc>
          <w:tcPr>
            <w:tcW w:w="1134" w:type="dxa"/>
            <w:vAlign w:val="center"/>
          </w:tcPr>
          <w:p>
            <w:pPr>
              <w:widowControl/>
              <w:jc w:val="center"/>
              <w:rPr>
                <w:rFonts w:ascii="Times New Roman" w:hAnsi="Times New Roman" w:cs="Times New Roman"/>
                <w:sz w:val="21"/>
              </w:rPr>
            </w:pPr>
            <w:r>
              <w:rPr>
                <w:rFonts w:ascii="Times New Roman" w:hAnsi="Times New Roman" w:cs="Times New Roman"/>
                <w:sz w:val="21"/>
              </w:rPr>
              <w:t>68.00</w:t>
            </w:r>
          </w:p>
        </w:tc>
        <w:tc>
          <w:tcPr>
            <w:tcW w:w="1004" w:type="dxa"/>
            <w:vAlign w:val="center"/>
          </w:tcPr>
          <w:p>
            <w:pPr>
              <w:widowControl/>
              <w:jc w:val="center"/>
              <w:rPr>
                <w:rFonts w:ascii="Times New Roman" w:hAnsi="Times New Roman" w:cs="Times New Roman"/>
                <w:sz w:val="21"/>
              </w:rPr>
            </w:pPr>
            <w:r>
              <w:rPr>
                <w:rFonts w:ascii="Times New Roman" w:hAnsi="Times New Roman" w:cs="Times New Roman"/>
                <w:sz w:val="21"/>
              </w:rPr>
              <w:t>8.00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9" w:hRule="atLeast"/>
          <w:jc w:val="center"/>
        </w:trPr>
        <w:tc>
          <w:tcPr>
            <w:tcW w:w="2594" w:type="dxa"/>
            <w:shd w:val="clear" w:color="auto" w:fill="DAEEF3" w:themeFill="accent5" w:themeFillTint="33"/>
            <w:vAlign w:val="center"/>
          </w:tcPr>
          <w:p>
            <w:pPr>
              <w:widowControl/>
              <w:rPr>
                <w:rFonts w:ascii="宋体" w:eastAsia="宋体" w:cs="宋体"/>
                <w:b/>
                <w:bCs/>
                <w:color w:val="000000"/>
                <w:kern w:val="0"/>
                <w:sz w:val="21"/>
                <w:szCs w:val="21"/>
              </w:rPr>
            </w:pPr>
            <w:r>
              <w:rPr>
                <w:rFonts w:hint="eastAsia" w:ascii="宋体" w:eastAsia="宋体" w:cs="宋体"/>
                <w:b/>
                <w:bCs/>
                <w:color w:val="000000"/>
                <w:kern w:val="0"/>
                <w:sz w:val="21"/>
                <w:szCs w:val="21"/>
              </w:rPr>
              <w:t>艺术学理论</w:t>
            </w:r>
          </w:p>
        </w:tc>
        <w:tc>
          <w:tcPr>
            <w:tcW w:w="993"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66.67</w:t>
            </w:r>
          </w:p>
        </w:tc>
        <w:tc>
          <w:tcPr>
            <w:tcW w:w="1134"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33.33</w:t>
            </w:r>
          </w:p>
        </w:tc>
        <w:tc>
          <w:tcPr>
            <w:tcW w:w="1004"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0.00</w:t>
            </w:r>
          </w:p>
        </w:tc>
      </w:tr>
    </w:tbl>
    <w:p/>
    <w:p>
      <w:pPr>
        <w:pStyle w:val="55"/>
        <w:spacing w:before="312" w:after="156"/>
      </w:pPr>
      <w:r>
        <w:rPr>
          <w:rFonts w:hint="eastAsia"/>
        </w:rPr>
        <w:t>不同专业博士生教育层次与工作的适配情况（%）</w:t>
      </w:r>
    </w:p>
    <w:tbl>
      <w:tblPr>
        <w:tblStyle w:val="125"/>
        <w:tblW w:w="5795" w:type="dxa"/>
        <w:jc w:val="center"/>
        <w:tblInd w:w="2368"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2664"/>
        <w:gridCol w:w="993"/>
        <w:gridCol w:w="1134"/>
        <w:gridCol w:w="1004"/>
      </w:tblGrid>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504" w:hRule="atLeast"/>
          <w:jc w:val="center"/>
        </w:trPr>
        <w:tc>
          <w:tcPr>
            <w:tcW w:w="2664" w:type="dxa"/>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hint="eastAsia" w:cs="Times New Roman"/>
                <w:b/>
                <w:bCs/>
                <w:color w:val="FFFFFF" w:themeColor="background1"/>
                <w:kern w:val="0"/>
                <w:sz w:val="21"/>
                <w:szCs w:val="21"/>
              </w:rPr>
              <w:t>专业</w:t>
            </w:r>
          </w:p>
        </w:tc>
        <w:tc>
          <w:tcPr>
            <w:tcW w:w="993" w:type="dxa"/>
            <w:tcBorders>
              <w:top w:val="single" w:color="4BACC6" w:themeColor="accent5" w:sz="4" w:space="0"/>
              <w:bottom w:val="single" w:color="4BACC6" w:themeColor="accent5" w:sz="4" w:space="0"/>
              <w:right w:val="nil"/>
              <w:insideH w:val="single" w:sz="4" w:space="0"/>
              <w:insideV w:val="nil"/>
            </w:tcBorders>
            <w:shd w:val="clear" w:color="auto" w:fill="4BACC6" w:themeFill="accent5"/>
          </w:tcPr>
          <w:p>
            <w:pPr>
              <w:widowControl/>
              <w:jc w:val="center"/>
              <w:rPr>
                <w:rFonts w:cs="Times New Roman"/>
                <w:b/>
                <w:bCs/>
                <w:color w:val="FFFFFF" w:themeColor="background1"/>
                <w:kern w:val="0"/>
                <w:sz w:val="21"/>
                <w:szCs w:val="21"/>
              </w:rPr>
            </w:pPr>
            <w:r>
              <w:rPr>
                <w:rFonts w:hint="eastAsia"/>
                <w:b/>
                <w:bCs/>
                <w:color w:val="FFFFFF" w:themeColor="background1"/>
                <w:sz w:val="21"/>
              </w:rPr>
              <w:t>高于岗位要求</w:t>
            </w:r>
          </w:p>
        </w:tc>
        <w:tc>
          <w:tcPr>
            <w:tcW w:w="1134" w:type="dxa"/>
            <w:tcBorders>
              <w:top w:val="single" w:color="4BACC6" w:themeColor="accent5" w:sz="4" w:space="0"/>
              <w:bottom w:val="single" w:color="4BACC6" w:themeColor="accent5" w:sz="4" w:space="0"/>
              <w:right w:val="nil"/>
              <w:insideH w:val="single" w:sz="4" w:space="0"/>
              <w:insideV w:val="nil"/>
            </w:tcBorders>
            <w:shd w:val="clear" w:color="auto" w:fill="4BACC6" w:themeFill="accent5"/>
          </w:tcPr>
          <w:p>
            <w:pPr>
              <w:widowControl/>
              <w:jc w:val="center"/>
              <w:rPr>
                <w:rFonts w:cs="Times New Roman"/>
                <w:b/>
                <w:bCs/>
                <w:color w:val="FFFFFF" w:themeColor="background1"/>
                <w:kern w:val="0"/>
                <w:sz w:val="21"/>
                <w:szCs w:val="21"/>
              </w:rPr>
            </w:pPr>
            <w:r>
              <w:rPr>
                <w:rFonts w:hint="eastAsia"/>
                <w:b/>
                <w:bCs/>
                <w:color w:val="FFFFFF" w:themeColor="background1"/>
                <w:sz w:val="21"/>
              </w:rPr>
              <w:t>恰好满足岗位要求</w:t>
            </w:r>
          </w:p>
        </w:tc>
        <w:tc>
          <w:tcPr>
            <w:tcW w:w="1004" w:type="dxa"/>
            <w:tcBorders>
              <w:top w:val="single" w:color="4BACC6" w:themeColor="accent5" w:sz="4" w:space="0"/>
              <w:bottom w:val="single" w:color="4BACC6" w:themeColor="accent5" w:sz="4" w:space="0"/>
              <w:right w:val="single" w:color="4BACC6" w:themeColor="accent5" w:sz="4" w:space="0"/>
              <w:insideH w:val="single" w:sz="4" w:space="0"/>
              <w:insideV w:val="nil"/>
            </w:tcBorders>
            <w:shd w:val="clear" w:color="auto" w:fill="4BACC6" w:themeFill="accent5"/>
          </w:tcPr>
          <w:p>
            <w:pPr>
              <w:widowControl/>
              <w:jc w:val="center"/>
              <w:rPr>
                <w:rFonts w:cs="Times New Roman"/>
                <w:b/>
                <w:bCs/>
                <w:color w:val="FFFFFF" w:themeColor="background1"/>
                <w:kern w:val="0"/>
                <w:sz w:val="21"/>
                <w:szCs w:val="21"/>
              </w:rPr>
            </w:pPr>
            <w:r>
              <w:rPr>
                <w:rFonts w:hint="eastAsia"/>
                <w:b/>
                <w:bCs/>
                <w:color w:val="FFFFFF" w:themeColor="background1"/>
                <w:sz w:val="21"/>
              </w:rPr>
              <w:t>低于岗位要求</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9" w:hRule="atLeast"/>
          <w:jc w:val="center"/>
        </w:trPr>
        <w:tc>
          <w:tcPr>
            <w:tcW w:w="2664" w:type="dxa"/>
            <w:shd w:val="clear" w:color="auto" w:fill="DAEEF3" w:themeFill="accent5" w:themeFillTint="33"/>
            <w:vAlign w:val="center"/>
          </w:tcPr>
          <w:p>
            <w:pPr>
              <w:widowControl/>
              <w:rPr>
                <w:rFonts w:ascii="Times New Roman" w:hAnsi="Times New Roman" w:cs="Times New Roman"/>
                <w:b/>
                <w:bCs/>
                <w:color w:val="000000"/>
                <w:kern w:val="0"/>
                <w:sz w:val="21"/>
                <w:szCs w:val="21"/>
              </w:rPr>
            </w:pPr>
            <w:r>
              <w:rPr>
                <w:rFonts w:hint="eastAsia" w:ascii="宋体" w:eastAsia="宋体" w:cs="宋体"/>
                <w:b/>
                <w:bCs/>
                <w:color w:val="000000"/>
                <w:kern w:val="0"/>
                <w:sz w:val="21"/>
                <w:szCs w:val="21"/>
              </w:rPr>
              <w:t>戏剧与影视学</w:t>
            </w:r>
          </w:p>
        </w:tc>
        <w:tc>
          <w:tcPr>
            <w:tcW w:w="993"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sz w:val="21"/>
              </w:rPr>
              <w:t>40.00</w:t>
            </w:r>
          </w:p>
        </w:tc>
        <w:tc>
          <w:tcPr>
            <w:tcW w:w="1134"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50.00</w:t>
            </w:r>
          </w:p>
        </w:tc>
        <w:tc>
          <w:tcPr>
            <w:tcW w:w="1004"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10.00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9" w:hRule="atLeast"/>
          <w:jc w:val="center"/>
        </w:trPr>
        <w:tc>
          <w:tcPr>
            <w:tcW w:w="2664" w:type="dxa"/>
            <w:vAlign w:val="center"/>
          </w:tcPr>
          <w:p>
            <w:pPr>
              <w:widowControl/>
              <w:rPr>
                <w:rFonts w:ascii="Times New Roman" w:hAnsi="Times New Roman" w:cs="Times New Roman"/>
                <w:b/>
                <w:bCs/>
                <w:color w:val="000000"/>
                <w:kern w:val="0"/>
                <w:sz w:val="21"/>
                <w:szCs w:val="21"/>
              </w:rPr>
            </w:pPr>
            <w:r>
              <w:rPr>
                <w:rFonts w:hint="eastAsia" w:ascii="宋体" w:eastAsia="宋体" w:cs="宋体"/>
                <w:b/>
                <w:bCs/>
                <w:color w:val="000000"/>
                <w:kern w:val="0"/>
                <w:sz w:val="21"/>
                <w:szCs w:val="21"/>
              </w:rPr>
              <w:t>艺术学理论</w:t>
            </w:r>
          </w:p>
        </w:tc>
        <w:tc>
          <w:tcPr>
            <w:tcW w:w="993"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sz w:val="21"/>
              </w:rPr>
              <w:t>0.00</w:t>
            </w:r>
          </w:p>
        </w:tc>
        <w:tc>
          <w:tcPr>
            <w:tcW w:w="1134" w:type="dxa"/>
            <w:vAlign w:val="center"/>
          </w:tcPr>
          <w:p>
            <w:pPr>
              <w:widowControl/>
              <w:jc w:val="center"/>
              <w:rPr>
                <w:rFonts w:ascii="Times New Roman" w:hAnsi="Times New Roman" w:cs="Times New Roman"/>
                <w:sz w:val="21"/>
              </w:rPr>
            </w:pPr>
            <w:r>
              <w:rPr>
                <w:rFonts w:ascii="Times New Roman" w:hAnsi="Times New Roman" w:cs="Times New Roman"/>
                <w:sz w:val="21"/>
              </w:rPr>
              <w:t>100.00</w:t>
            </w:r>
          </w:p>
        </w:tc>
        <w:tc>
          <w:tcPr>
            <w:tcW w:w="1004" w:type="dxa"/>
            <w:vAlign w:val="center"/>
          </w:tcPr>
          <w:p>
            <w:pPr>
              <w:widowControl/>
              <w:jc w:val="center"/>
              <w:rPr>
                <w:rFonts w:ascii="Times New Roman" w:hAnsi="Times New Roman" w:cs="Times New Roman"/>
                <w:sz w:val="21"/>
              </w:rPr>
            </w:pPr>
            <w:r>
              <w:rPr>
                <w:rFonts w:ascii="Times New Roman" w:hAnsi="Times New Roman" w:cs="Times New Roman"/>
                <w:sz w:val="21"/>
              </w:rPr>
              <w:t>0.00</w:t>
            </w:r>
          </w:p>
        </w:tc>
      </w:tr>
    </w:tbl>
    <w:p/>
    <w:p>
      <w:pPr>
        <w:pStyle w:val="67"/>
        <w:spacing w:before="156" w:after="156"/>
        <w:ind w:left="240"/>
      </w:pPr>
      <w:bookmarkStart w:id="384" w:name="_Toc486857529"/>
      <w:r>
        <w:rPr>
          <w:rFonts w:hint="eastAsia"/>
        </w:rPr>
        <w:t>11.落实工作与期望相符情况</w:t>
      </w:r>
      <w:bookmarkEnd w:id="384"/>
    </w:p>
    <w:p>
      <w:pPr>
        <w:pStyle w:val="123"/>
        <w:ind w:firstLine="480"/>
      </w:pPr>
      <w:bookmarkStart w:id="385" w:name="PO_332111"/>
      <w:bookmarkEnd w:id="385"/>
      <w:r>
        <w:rPr>
          <w:rFonts w:hint="eastAsia"/>
        </w:rPr>
        <w:t>从落实工作与期望相符情况看，认为目前落实的工作与期望“很相符”或“相符”的研究生比例为80.00%，认为工作与期望“不相符”的占3.33%。</w:t>
      </w:r>
    </w:p>
    <w:p>
      <w:pPr>
        <w:jc w:val="center"/>
      </w:pPr>
      <w:bookmarkStart w:id="386" w:name="PO_332112"/>
      <w:bookmarkEnd w:id="386"/>
      <w:r>
        <w:rPr>
          <w:rFonts w:hint="eastAsia"/>
        </w:rPr>
        <w:drawing>
          <wp:inline distT="0" distB="0" distL="0" distR="0">
            <wp:extent cx="5007610" cy="2286000"/>
            <wp:effectExtent l="0" t="0" r="2540" b="0"/>
            <wp:docPr id="34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pPr>
        <w:pStyle w:val="107"/>
        <w:spacing w:before="156" w:after="312"/>
      </w:pPr>
      <w:r>
        <w:rPr>
          <w:rFonts w:hint="eastAsia"/>
        </w:rPr>
        <w:t>研究生落实工作与期望相符情况</w:t>
      </w:r>
    </w:p>
    <w:p>
      <w:pPr>
        <w:pStyle w:val="41"/>
        <w:ind w:firstLine="482"/>
        <w:rPr>
          <w:rFonts w:asciiTheme="minorEastAsia" w:hAnsiTheme="minorEastAsia" w:eastAsiaTheme="minorEastAsia"/>
        </w:rPr>
      </w:pPr>
      <w:r>
        <w:rPr>
          <w:rFonts w:hint="eastAsia"/>
          <w:b/>
        </w:rPr>
        <w:t>与2016届</w:t>
      </w:r>
      <w:r>
        <w:rPr>
          <w:b/>
        </w:rPr>
        <w:t>相比，</w:t>
      </w:r>
      <w:r>
        <w:rPr>
          <w:rFonts w:hint="eastAsia"/>
        </w:rPr>
        <w:t>2017届研究</w:t>
      </w:r>
      <w:r>
        <w:t>生</w:t>
      </w:r>
      <w:r>
        <w:rPr>
          <w:rFonts w:hint="eastAsia"/>
        </w:rPr>
        <w:t>落实</w:t>
      </w:r>
      <w:r>
        <w:t>工作与期</w:t>
      </w:r>
      <w:r>
        <w:rPr>
          <w:rFonts w:asciiTheme="minorEastAsia" w:hAnsiTheme="minorEastAsia" w:eastAsiaTheme="minorEastAsia"/>
        </w:rPr>
        <w:t>望相符程度</w:t>
      </w:r>
      <w:r>
        <w:rPr>
          <w:rFonts w:hint="eastAsia" w:asciiTheme="minorEastAsia" w:hAnsiTheme="minorEastAsia" w:eastAsiaTheme="minorEastAsia"/>
        </w:rPr>
        <w:t>（包括“很相符”和“相符”）越高。</w:t>
      </w:r>
    </w:p>
    <w:p>
      <w:pPr>
        <w:pStyle w:val="41"/>
        <w:ind w:firstLine="480"/>
        <w:jc w:val="center"/>
      </w:pPr>
      <w:r>
        <w:rPr>
          <w:rFonts w:hint="eastAsia"/>
        </w:rPr>
        <w:drawing>
          <wp:inline distT="0" distB="0" distL="0" distR="0">
            <wp:extent cx="4925060" cy="2466975"/>
            <wp:effectExtent l="19050" t="0" r="0" b="0"/>
            <wp:docPr id="46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pPr>
        <w:pStyle w:val="107"/>
        <w:spacing w:before="156" w:after="312"/>
      </w:pPr>
      <w:r>
        <w:rPr>
          <w:rFonts w:hint="eastAsia"/>
        </w:rPr>
        <w:t>2016届</w:t>
      </w:r>
      <w:r>
        <w:t>与</w:t>
      </w:r>
      <w:r>
        <w:rPr>
          <w:rFonts w:hint="eastAsia"/>
        </w:rPr>
        <w:t>2017届研究</w:t>
      </w:r>
      <w:r>
        <w:t>生落实工作与期望相符情况</w:t>
      </w:r>
      <w:r>
        <w:rPr>
          <w:rFonts w:hint="eastAsia"/>
        </w:rPr>
        <w:t>比较</w:t>
      </w:r>
    </w:p>
    <w:p>
      <w:pPr>
        <w:pStyle w:val="41"/>
        <w:ind w:firstLine="480"/>
        <w:jc w:val="left"/>
      </w:pPr>
    </w:p>
    <w:p>
      <w:pPr>
        <w:pStyle w:val="49"/>
        <w:spacing w:before="156" w:after="156"/>
        <w:ind w:left="120"/>
      </w:pPr>
      <w:bookmarkStart w:id="387" w:name="_Toc486857530"/>
      <w:r>
        <w:rPr>
          <w:rFonts w:hint="eastAsia"/>
        </w:rPr>
        <w:t>（三）研究生求职过程</w:t>
      </w:r>
      <w:bookmarkEnd w:id="387"/>
    </w:p>
    <w:p>
      <w:pPr>
        <w:pStyle w:val="67"/>
        <w:spacing w:before="156" w:after="156"/>
        <w:ind w:left="240"/>
      </w:pPr>
      <w:bookmarkStart w:id="388" w:name="_Toc486857531"/>
      <w:r>
        <w:rPr>
          <w:rFonts w:hint="eastAsia"/>
        </w:rPr>
        <w:t>1.求职积极程度</w:t>
      </w:r>
      <w:bookmarkEnd w:id="388"/>
    </w:p>
    <w:p>
      <w:pPr>
        <w:pStyle w:val="123"/>
        <w:ind w:firstLine="480"/>
      </w:pPr>
      <w:bookmarkStart w:id="389" w:name="PO_33311"/>
      <w:bookmarkEnd w:id="389"/>
      <w:r>
        <w:rPr>
          <w:rFonts w:hint="eastAsia"/>
        </w:rPr>
        <w:t>在评价自己的求职积极程度时，78.33%的研究生认为自己“很积极”或“积极”，3.33%的研究生则表示“不积极”。</w:t>
      </w:r>
    </w:p>
    <w:p>
      <w:pPr>
        <w:jc w:val="center"/>
      </w:pPr>
      <w:bookmarkStart w:id="390" w:name="PO_33312"/>
      <w:bookmarkEnd w:id="390"/>
      <w:r>
        <w:rPr>
          <w:rFonts w:hint="eastAsia"/>
        </w:rPr>
        <w:drawing>
          <wp:inline distT="0" distB="0" distL="0" distR="0">
            <wp:extent cx="5007610" cy="2286000"/>
            <wp:effectExtent l="0" t="0" r="2540" b="0"/>
            <wp:docPr id="40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pPr>
        <w:pStyle w:val="107"/>
        <w:spacing w:before="156" w:after="312"/>
      </w:pPr>
      <w:r>
        <w:rPr>
          <w:rFonts w:hint="eastAsia"/>
        </w:rPr>
        <w:t>研究生求职积极程度</w:t>
      </w:r>
    </w:p>
    <w:p>
      <w:pPr>
        <w:pStyle w:val="67"/>
        <w:spacing w:before="156" w:after="156"/>
        <w:ind w:left="240"/>
      </w:pPr>
      <w:bookmarkStart w:id="391" w:name="_Toc486857532"/>
      <w:r>
        <w:rPr>
          <w:rFonts w:hint="eastAsia"/>
        </w:rPr>
        <w:t>2.</w:t>
      </w:r>
      <w:r>
        <w:t>简历投递、面试机会及工作机会</w:t>
      </w:r>
      <w:bookmarkEnd w:id="391"/>
    </w:p>
    <w:p>
      <w:pPr>
        <w:pStyle w:val="123"/>
        <w:ind w:firstLine="480"/>
      </w:pPr>
      <w:bookmarkStart w:id="392" w:name="PO_33321"/>
      <w:bookmarkEnd w:id="392"/>
      <w:r>
        <w:rPr>
          <w:rFonts w:hint="eastAsia"/>
        </w:rPr>
        <w:t>调查显示，研究生求职过程中平均投递简历11.37份，平均收到面试邀请3.65份，平均收到录取通知2.20份。</w:t>
      </w:r>
    </w:p>
    <w:p>
      <w:pPr>
        <w:rPr>
          <w:rFonts w:ascii="Times New Roman" w:hAnsi="Times New Roman" w:eastAsia="宋体"/>
        </w:rPr>
      </w:pPr>
      <w:bookmarkStart w:id="393" w:name="PO_33322"/>
      <w:bookmarkEnd w:id="393"/>
      <w:r>
        <mc:AlternateContent>
          <mc:Choice Requires="wpc">
            <w:drawing>
              <wp:inline distT="0" distB="0" distL="114300" distR="114300">
                <wp:extent cx="6010910" cy="1438275"/>
                <wp:effectExtent l="0" t="0" r="0" b="0"/>
                <wp:docPr id="57" name="画布 3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48" name="文本框 371"/>
                        <wps:cNvSpPr txBox="1"/>
                        <wps:spPr>
                          <a:xfrm>
                            <a:off x="763901" y="1091557"/>
                            <a:ext cx="1429402" cy="342918"/>
                          </a:xfrm>
                          <a:prstGeom prst="rect">
                            <a:avLst/>
                          </a:prstGeom>
                          <a:noFill/>
                          <a:ln w="6350">
                            <a:noFill/>
                          </a:ln>
                        </wps:spPr>
                        <wps:txbx>
                          <w:txbxContent>
                            <w:p>
                              <w:r>
                                <w:rPr>
                                  <w:rFonts w:hint="eastAsia"/>
                                </w:rPr>
                                <w:t>投递</w:t>
                              </w:r>
                              <w:bookmarkStart w:id="440" w:name="PO_33322A"/>
                              <w:bookmarkEnd w:id="440"/>
                              <w:r>
                                <w:t>11.37</w:t>
                              </w:r>
                              <w:r>
                                <w:rPr>
                                  <w:rFonts w:hint="eastAsia"/>
                                </w:rPr>
                                <w:t>份简历</w:t>
                              </w:r>
                            </w:p>
                          </w:txbxContent>
                        </wps:txbx>
                        <wps:bodyPr upright="1"/>
                      </wps:wsp>
                      <wps:wsp>
                        <wps:cNvPr id="49" name="文本框 372"/>
                        <wps:cNvSpPr txBox="1"/>
                        <wps:spPr>
                          <a:xfrm>
                            <a:off x="2367304" y="1091557"/>
                            <a:ext cx="1647803" cy="342918"/>
                          </a:xfrm>
                          <a:prstGeom prst="rect">
                            <a:avLst/>
                          </a:prstGeom>
                          <a:noFill/>
                          <a:ln w="6350">
                            <a:noFill/>
                          </a:ln>
                        </wps:spPr>
                        <wps:txbx>
                          <w:txbxContent>
                            <w:p>
                              <w:r>
                                <w:rPr>
                                  <w:rFonts w:hint="eastAsia"/>
                                </w:rPr>
                                <w:t>获得</w:t>
                              </w:r>
                              <w:bookmarkStart w:id="441" w:name="PO_33322B"/>
                              <w:bookmarkEnd w:id="441"/>
                              <w:r>
                                <w:t>3.65份面试邀请</w:t>
                              </w:r>
                            </w:p>
                          </w:txbxContent>
                        </wps:txbx>
                        <wps:bodyPr upright="1"/>
                      </wps:wsp>
                      <wps:wsp>
                        <wps:cNvPr id="50" name="文本框 373"/>
                        <wps:cNvSpPr txBox="1"/>
                        <wps:spPr>
                          <a:xfrm>
                            <a:off x="4015107" y="1091557"/>
                            <a:ext cx="1799003" cy="342918"/>
                          </a:xfrm>
                          <a:prstGeom prst="rect">
                            <a:avLst/>
                          </a:prstGeom>
                          <a:noFill/>
                          <a:ln w="6350">
                            <a:noFill/>
                          </a:ln>
                        </wps:spPr>
                        <wps:txbx>
                          <w:txbxContent>
                            <w:p>
                              <w:r>
                                <w:rPr>
                                  <w:rFonts w:hint="eastAsia"/>
                                </w:rPr>
                                <w:t>收到</w:t>
                              </w:r>
                              <w:bookmarkStart w:id="442" w:name="PO_33322C"/>
                              <w:bookmarkEnd w:id="442"/>
                              <w:r>
                                <w:t>2.20份</w:t>
                              </w:r>
                              <w:r>
                                <w:rPr>
                                  <w:rFonts w:hint="eastAsia"/>
                                </w:rPr>
                                <w:t>录用通知</w:t>
                              </w:r>
                            </w:p>
                          </w:txbxContent>
                        </wps:txbx>
                        <wps:bodyPr upright="1"/>
                      </wps:wsp>
                      <wpg:wgp>
                        <wpg:cNvPr id="56" name="组合 374"/>
                        <wpg:cNvGrpSpPr/>
                        <wpg:grpSpPr>
                          <a:xfrm>
                            <a:off x="884301" y="188510"/>
                            <a:ext cx="4156107" cy="930749"/>
                            <a:chOff x="10740" y="1800"/>
                            <a:chExt cx="41561" cy="9307"/>
                          </a:xfrm>
                        </wpg:grpSpPr>
                        <pic:pic xmlns:pic="http://schemas.openxmlformats.org/drawingml/2006/picture">
                          <pic:nvPicPr>
                            <pic:cNvPr id="51" name="图形 455" descr="报纸"/>
                            <pic:cNvPicPr>
                              <a:picLocks noChangeAspect="1"/>
                            </pic:cNvPicPr>
                          </pic:nvPicPr>
                          <pic:blipFill>
                            <a:blip r:embed="rId65"/>
                            <a:stretch>
                              <a:fillRect/>
                            </a:stretch>
                          </pic:blipFill>
                          <pic:spPr>
                            <a:xfrm>
                              <a:off x="10740" y="1800"/>
                              <a:ext cx="9144" cy="9144"/>
                            </a:xfrm>
                            <a:prstGeom prst="rect">
                              <a:avLst/>
                            </a:prstGeom>
                            <a:noFill/>
                            <a:ln w="9525">
                              <a:noFill/>
                            </a:ln>
                          </pic:spPr>
                        </pic:pic>
                        <pic:pic xmlns:pic="http://schemas.openxmlformats.org/drawingml/2006/picture">
                          <pic:nvPicPr>
                            <pic:cNvPr id="52" name="图形 453" descr="用户"/>
                            <pic:cNvPicPr>
                              <a:picLocks noChangeAspect="1"/>
                            </pic:cNvPicPr>
                          </pic:nvPicPr>
                          <pic:blipFill>
                            <a:blip r:embed="rId66"/>
                            <a:stretch>
                              <a:fillRect/>
                            </a:stretch>
                          </pic:blipFill>
                          <pic:spPr>
                            <a:xfrm>
                              <a:off x="26744" y="1885"/>
                              <a:ext cx="9144" cy="9144"/>
                            </a:xfrm>
                            <a:prstGeom prst="rect">
                              <a:avLst/>
                            </a:prstGeom>
                            <a:noFill/>
                            <a:ln w="9525">
                              <a:noFill/>
                            </a:ln>
                          </pic:spPr>
                        </pic:pic>
                        <pic:pic xmlns:pic="http://schemas.openxmlformats.org/drawingml/2006/picture">
                          <pic:nvPicPr>
                            <pic:cNvPr id="53" name="图形 456" descr="握手"/>
                            <pic:cNvPicPr>
                              <a:picLocks noChangeAspect="1"/>
                            </pic:cNvPicPr>
                          </pic:nvPicPr>
                          <pic:blipFill>
                            <a:blip r:embed="rId67"/>
                            <a:stretch>
                              <a:fillRect/>
                            </a:stretch>
                          </pic:blipFill>
                          <pic:spPr>
                            <a:xfrm>
                              <a:off x="43157" y="1963"/>
                              <a:ext cx="9144" cy="9144"/>
                            </a:xfrm>
                            <a:prstGeom prst="rect">
                              <a:avLst/>
                            </a:prstGeom>
                            <a:noFill/>
                            <a:ln w="9525">
                              <a:noFill/>
                            </a:ln>
                          </pic:spPr>
                        </pic:pic>
                        <wps:wsp>
                          <wps:cNvPr id="54" name="直接箭头连接符 378"/>
                          <wps:cNvCnPr/>
                          <wps:spPr>
                            <a:xfrm>
                              <a:off x="19883" y="6372"/>
                              <a:ext cx="6860" cy="84"/>
                            </a:xfrm>
                            <a:prstGeom prst="straightConnector1">
                              <a:avLst/>
                            </a:prstGeom>
                            <a:ln w="9525" cap="flat" cmpd="sng">
                              <a:solidFill>
                                <a:srgbClr val="46AAC5"/>
                              </a:solidFill>
                              <a:prstDash val="solid"/>
                              <a:headEnd type="none" w="med" len="med"/>
                              <a:tailEnd type="triangle" w="med" len="med"/>
                            </a:ln>
                          </wps:spPr>
                          <wps:bodyPr/>
                        </wps:wsp>
                        <wps:wsp>
                          <wps:cNvPr id="55" name="直接箭头连接符 379"/>
                          <wps:cNvCnPr/>
                          <wps:spPr>
                            <a:xfrm>
                              <a:off x="35888" y="6457"/>
                              <a:ext cx="7269" cy="78"/>
                            </a:xfrm>
                            <a:prstGeom prst="straightConnector1">
                              <a:avLst/>
                            </a:prstGeom>
                            <a:ln w="9525" cap="flat" cmpd="sng">
                              <a:solidFill>
                                <a:srgbClr val="46AAC5"/>
                              </a:solidFill>
                              <a:prstDash val="solid"/>
                              <a:headEnd type="none" w="med" len="med"/>
                              <a:tailEnd type="triangle" w="med" len="med"/>
                            </a:ln>
                          </wps:spPr>
                          <wps:bodyPr/>
                        </wps:wsp>
                      </wpg:wgp>
                    </wpc:wpc>
                  </a:graphicData>
                </a:graphic>
              </wp:inline>
            </w:drawing>
          </mc:Choice>
          <mc:Fallback>
            <w:pict>
              <v:group id="画布 380" o:spid="_x0000_s1026" o:spt="203" style="height:113.25pt;width:473.3pt;" coordsize="6010910,1438275" editas="canvas" o:gfxdata="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NydHYcYAAAApAgAAGQAAAGRy&#10;cy9fcmVscy9lMm9Eb2MueG1sLnJlbHO9kcFqAjEQhu9C3yHMvZvdFYqIWS8ieBX7AEMymw1uJiGJ&#10;pb69gVKoIPXmcWb4v/+D2Wy//Sy+KGUXWEHXtCCIdTCOrYLP0/59BSIXZINzYFJwpQzb4W2xOdKM&#10;pYby5GIWlcJZwVRKXEuZ9UQecxMicb2MIXksdUxWRtRntCT7tv2Q6S8DhjumOBgF6WCWIE7XWJuf&#10;s8M4Ok27oC+euDyokM7X7grEZKko8GQc/iyXTWQL8rFD/xqH/j+H7jUO3a+DvHvwcAN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">
                <o:lock v:ext="edit" aspectratio="f"/>
                <v:rect id="画布 380" o:spid="_x0000_s1026" o:spt="1" style="position:absolute;left:0;top:0;height:1438275;width:6010910;" filled="f" stroked="f" coordsize="21600,21600" o:gfxdata="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">
                  <v:fill on="f" focussize="0,0"/>
                  <v:stroke on="f"/>
                  <v:imagedata o:title=""/>
                  <o:lock v:ext="edit" aspectratio="t"/>
                </v:rect>
                <v:shape id="文本框 371" o:spid="_x0000_s1026" o:spt="202" type="#_x0000_t202" style="position:absolute;left:763901;top:1091556;height:342917;width:142940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yBMYA&#10;AADcAAAADwAAAGRycy9kb3ducmV2LnhtbESPT4vCMBTE7wt+h/AEb2uqi6tUo0hBVsQ9+Ofi7dk8&#10;22LzUpuo1U+/WRA8DjPzG2Yya0wpblS7wrKCXjcCQZxaXXCmYL9bfI5AOI+ssbRMCh7kYDZtfUww&#10;1vbOG7ptfSYChF2MCnLvq1hKl+Zk0HVtRRy8k60N+iDrTOoa7wFuStmPom9psOCwkGNFSU7peXs1&#10;ClbJ4hc3x74ZPcvkZ32aV5f9YaBUp93MxyA8Nf4dfrWXWsHXsAf/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qyBMYAAADcAAAADwAAAAAAAAAAAAAAAACYAgAAZHJz&#10;L2Rvd25yZXYueG1sUEsFBgAAAAAEAAQA9QAAAIsDAAAAAA==&#10;">
                  <v:fill on="f" focussize="0,0"/>
                  <v:stroke on="f" weight="0.5pt"/>
                  <v:imagedata o:title=""/>
                  <o:lock v:ext="edit" aspectratio="f"/>
                  <v:textbox>
                    <w:txbxContent>
                      <w:p>
                        <w:r>
                          <w:rPr>
                            <w:rFonts w:hint="eastAsia"/>
                          </w:rPr>
                          <w:t>投递</w:t>
                        </w:r>
                        <w:bookmarkStart w:id="440" w:name="PO_33322A"/>
                        <w:bookmarkEnd w:id="440"/>
                        <w:r>
                          <w:t>11.37</w:t>
                        </w:r>
                        <w:r>
                          <w:rPr>
                            <w:rFonts w:hint="eastAsia"/>
                          </w:rPr>
                          <w:t>份简历</w:t>
                        </w:r>
                      </w:p>
                    </w:txbxContent>
                  </v:textbox>
                </v:shape>
                <v:shape id="文本框 372" o:spid="_x0000_s1026" o:spt="202" type="#_x0000_t202" style="position:absolute;left:2367303;top:1091556;height:342917;width:164780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gsc8cA&#10;AADcAAAADwAAAGRycy9kb3ducmV2LnhtbESPzWvCQBTE70L/h+UVetNNU1olZhUJSEXagx8Xb8/s&#10;ywdm36bZrab9611B8DjMzG+YdN6bRpypc7VlBa+jCARxbnXNpYL9bjmcgHAeWWNjmRT8kYP57GmQ&#10;YqLthTd03vpSBAi7BBVU3reJlC6vyKAb2ZY4eIXtDPogu1LqDi8BbhoZR9GHNFhzWKiwpayi/LT9&#10;NQrW2fIbN8fYTP6b7POrWLQ/+8O7Ui/P/WIKwlPvH+F7e6UVvI1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ILHPHAAAA3AAAAA8AAAAAAAAAAAAAAAAAmAIAAGRy&#10;cy9kb3ducmV2LnhtbFBLBQYAAAAABAAEAPUAAACMAwAAAAA=&#10;">
                  <v:fill on="f" focussize="0,0"/>
                  <v:stroke on="f" weight="0.5pt"/>
                  <v:imagedata o:title=""/>
                  <o:lock v:ext="edit" aspectratio="f"/>
                  <v:textbox>
                    <w:txbxContent>
                      <w:p>
                        <w:r>
                          <w:rPr>
                            <w:rFonts w:hint="eastAsia"/>
                          </w:rPr>
                          <w:t>获得</w:t>
                        </w:r>
                        <w:bookmarkStart w:id="441" w:name="PO_33322B"/>
                        <w:bookmarkEnd w:id="441"/>
                        <w:r>
                          <w:t>3.65份面试邀请</w:t>
                        </w:r>
                      </w:p>
                    </w:txbxContent>
                  </v:textbox>
                </v:shape>
                <v:shape id="文本框 373" o:spid="_x0000_s1026" o:spt="202" type="#_x0000_t202" style="position:absolute;left:4015106;top:1091556;height:342917;width:179900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J6McA&#10;AADcAAAADwAAAGRycy9kb3ducmV2LnhtbESPQWvCQBSE70L/w/IKvemmBluJ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EiejHAAAA3AAAAA8AAAAAAAAAAAAAAAAAmAIAAGRy&#10;cy9kb3ducmV2LnhtbFBLBQYAAAAABAAEAPUAAACMAwAAAAA=&#10;">
                  <v:fill on="f" focussize="0,0"/>
                  <v:stroke on="f" weight="0.5pt"/>
                  <v:imagedata o:title=""/>
                  <o:lock v:ext="edit" aspectratio="f"/>
                  <v:textbox>
                    <w:txbxContent>
                      <w:p>
                        <w:r>
                          <w:rPr>
                            <w:rFonts w:hint="eastAsia"/>
                          </w:rPr>
                          <w:t>收到</w:t>
                        </w:r>
                        <w:bookmarkStart w:id="442" w:name="PO_33322C"/>
                        <w:bookmarkEnd w:id="442"/>
                        <w:r>
                          <w:t>2.20份</w:t>
                        </w:r>
                        <w:r>
                          <w:rPr>
                            <w:rFonts w:hint="eastAsia"/>
                          </w:rPr>
                          <w:t>录用通知</w:t>
                        </w:r>
                      </w:p>
                    </w:txbxContent>
                  </v:textbox>
                </v:shape>
                <v:group id="组合 374" o:spid="_x0000_s1026" o:spt="203" style="position:absolute;left:884301;top:188509;height:930748;width:4156106;" coordorigin="10740,1800" coordsize="41561,9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o:lock v:ext="edit" aspectratio="f"/>
                  <v:shape id="图形 455" o:spid="_x0000_s1026" o:spt="75" alt="报纸" type="#_x0000_t75" style="position:absolute;left:10740;top:1800;height:9144;width:9144;"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fzW7HAAAA3AAAAA8AAABkcnMvZG93bnJldi54bWxEj0FrwkAUhO+F/oflCV6KbtqixtRVRLAI&#10;pYJRxONr9pmEZt8u2a1J/323UOhxmJlvmMWqN424UetrywoexwkI4sLqmksFp+N2lILwAVljY5kU&#10;fJOH1fL+boGZth0f6JaHUkQI+wwVVCG4TEpfVGTQj60jjt7VtgZDlG0pdYtdhJtGPiXJVBqsOS5U&#10;6GhTUfGZfxkF785N3j7y1269n6fnh02+m+3Ti1LDQb9+ARGoD//hv/ZOK3ieTeD3TDwCcv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xfzW7HAAAA3AAAAA8AAAAAAAAAAAAA&#10;AAAAnwIAAGRycy9kb3ducmV2LnhtbFBLBQYAAAAABAAEAPcAAACTAwAAAAA=&#10;">
                    <v:fill on="f" focussize="0,0"/>
                    <v:stroke on="f"/>
                    <v:imagedata r:id="rId65" o:title="报纸"/>
                    <o:lock v:ext="edit" aspectratio="t"/>
                  </v:shape>
                  <v:shape id="图形 453" o:spid="_x0000_s1026" o:spt="75" alt="用户" type="#_x0000_t75" style="position:absolute;left:26744;top:1885;height:9144;width:9144;"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ZOnFAAAA3AAAAA8AAABkcnMvZG93bnJldi54bWxEj0FrwkAUhO8F/8PyCl5Ks9GClugqUgyk&#10;9NQo5vrIPpPQ7Ns0uybpv+8WCh6HmfmG2e4n04qBetdYVrCIYhDEpdUNVwrOp/T5FYTzyBpby6Tg&#10;hxzsd7OHLSbajvxJQ+4rESDsElRQe98lUrqyJoMush1x8K62N+iD7CupexwD3LRyGccrabDhsFBj&#10;R281lV/5zShodfGRvcvbhbo8/h6OTykVaarU/HE6bEB4mvw9/N/OtIKX9Qr+zoQjIH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hmTpxQAAANwAAAAPAAAAAAAAAAAAAAAA&#10;AJ8CAABkcnMvZG93bnJldi54bWxQSwUGAAAAAAQABAD3AAAAkQMAAAAA&#10;">
                    <v:fill on="f" focussize="0,0"/>
                    <v:stroke on="f"/>
                    <v:imagedata r:id="rId66" o:title="用户"/>
                    <o:lock v:ext="edit" aspectratio="t"/>
                  </v:shape>
                  <v:shape id="图形 456" o:spid="_x0000_s1026" o:spt="75" alt="握手" type="#_x0000_t75" style="position:absolute;left:43157;top:1963;height:9144;width:9144;"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LYhXFAAAA3AAAAA8AAABkcnMvZG93bnJldi54bWxEj0trwkAUhfcF/8NwhW6KTlqhSuooqaXg&#10;xkV9QJeXzG0mTeZOzIwx+fdOoeDycB4fZ7nubS06an3pWMHzNAFBnDtdcqHgePicLED4gKyxdkwK&#10;BvKwXo0elphqd+Uv6vahEHGEfYoKTAhNKqXPDVn0U9cQR+/HtRZDlG0hdYvXOG5r+ZIkr9JiyZFg&#10;sKGNobzaX2zkZpdfs8t09RTevz+6YcATVWelHsd99gYiUB/u4f/2ViuYzefwdyYeAb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y2IVxQAAANwAAAAPAAAAAAAAAAAAAAAA&#10;AJ8CAABkcnMvZG93bnJldi54bWxQSwUGAAAAAAQABAD3AAAAkQMAAAAA&#10;">
                    <v:fill on="f" focussize="0,0"/>
                    <v:stroke on="f"/>
                    <v:imagedata r:id="rId67" o:title="握手"/>
                    <o:lock v:ext="edit" aspectratio="t"/>
                  </v:shape>
                  <v:shape id="直接箭头连接符 378" o:spid="_x0000_s1026" o:spt="32" type="#_x0000_t32" style="position:absolute;left:19883;top:6372;height:84;width:686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KLcsEAAADcAAAADwAAAGRycy9kb3ducmV2LnhtbERP3WrCMBS+H+wdwhl4N1MV6uiMxQ3c&#10;pOiF3R7gkByb0uakNJl2b28uBrv8+P435eR6caUxtJ4VLOYZCGLtTcuNgu+v/fMLiBCRDfaeScEv&#10;BSi3jw8bLIy/8ZmudWxECuFQoAIb41BIGbQlh2HuB+LEXfzoMCY4NtKMeEvhrpfLLMulw5ZTg8WB&#10;3i3prv5xCnRlj0P1diFr6i7Xcf15/DixUrOnafcKItIU/8V/7oNRsFqntelMOgJye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EotywQAAANwAAAAPAAAAAAAAAAAAAAAA&#10;AKECAABkcnMvZG93bnJldi54bWxQSwUGAAAAAAQABAD5AAAAjwMAAAAA&#10;">
                    <v:fill on="f" focussize="0,0"/>
                    <v:stroke color="#46AAC5" joinstyle="round" endarrow="block"/>
                    <v:imagedata o:title=""/>
                    <o:lock v:ext="edit" aspectratio="f"/>
                  </v:shape>
                  <v:shape id="直接箭头连接符 379" o:spid="_x0000_s1026" o:spt="32" type="#_x0000_t32" style="position:absolute;left:35888;top:6457;height:78;width:7269;"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4u6cQAAADcAAAADwAAAGRycy9kb3ducmV2LnhtbESPUWvCMBSF3wf7D+EOfJvpHOispjKF&#10;uSH6sOoPuCS3TbG5KU3U7t8vg4GPh3POdzjL1eBacaU+NJ4VvIwzEMTam4ZrBafjx/MbiBCRDbae&#10;ScEPBVgVjw9LzI2/8Tddy1iLBOGQowIbY5dLGbQlh2HsO+LkVb53GJPsa2l6vCW4a+Uky6bSYcNp&#10;wWJHG0v6XF6cAr2z+263rsia8jzVcfa53x5YqdHT8L4AEWmI9/B/+8soeJ3N4e9MOgK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i7pxAAAANwAAAAPAAAAAAAAAAAA&#10;AAAAAKECAABkcnMvZG93bnJldi54bWxQSwUGAAAAAAQABAD5AAAAkgMAAAAA&#10;">
                    <v:fill on="f" focussize="0,0"/>
                    <v:stroke color="#46AAC5" joinstyle="round" endarrow="block"/>
                    <v:imagedata o:title=""/>
                    <o:lock v:ext="edit" aspectratio="f"/>
                  </v:shape>
                </v:group>
                <w10:wrap type="none"/>
                <w10:anchorlock/>
              </v:group>
            </w:pict>
          </mc:Fallback>
        </mc:AlternateContent>
      </w:r>
    </w:p>
    <w:p>
      <w:pPr>
        <w:pStyle w:val="107"/>
        <w:spacing w:before="156" w:after="312"/>
      </w:pPr>
      <w:r>
        <w:rPr>
          <w:rFonts w:hint="eastAsia"/>
        </w:rPr>
        <w:t>研究生投递简历数、面试邀请数、录用通知数</w:t>
      </w:r>
    </w:p>
    <w:p>
      <w:pPr>
        <w:pStyle w:val="67"/>
        <w:spacing w:before="156" w:after="156"/>
        <w:ind w:left="240"/>
      </w:pPr>
      <w:bookmarkStart w:id="394" w:name="_Toc486857533"/>
      <w:r>
        <w:rPr>
          <w:rFonts w:hint="eastAsia"/>
        </w:rPr>
        <w:t>3.</w:t>
      </w:r>
      <w:r>
        <w:t>求职周期和收到第一份录用通知的时间</w:t>
      </w:r>
      <w:bookmarkEnd w:id="394"/>
    </w:p>
    <w:p>
      <w:pPr>
        <w:pStyle w:val="123"/>
        <w:ind w:firstLine="480"/>
      </w:pPr>
      <w:bookmarkStart w:id="395" w:name="PO_33331"/>
      <w:bookmarkEnd w:id="395"/>
      <w:r>
        <w:rPr>
          <w:rFonts w:hint="eastAsia"/>
        </w:rPr>
        <w:t>调查显示，研究生从开始求职到最终落实工作平均用时3.98个月，平均毕业前3.31个月拿到第一份录用通知，主要集中在2017年6月拿到第一个录取通知。</w:t>
      </w:r>
    </w:p>
    <w:p>
      <w:pPr>
        <w:pStyle w:val="41"/>
        <w:ind w:firstLine="480"/>
      </w:pPr>
      <w:bookmarkStart w:id="396" w:name="PO_33332"/>
      <w:bookmarkEnd w:id="396"/>
      <w:r>
        <mc:AlternateContent>
          <mc:Choice Requires="wpc">
            <w:drawing>
              <wp:inline distT="0" distB="0" distL="114300" distR="114300">
                <wp:extent cx="5815965" cy="1231265"/>
                <wp:effectExtent l="0" t="0" r="0" b="0"/>
                <wp:docPr id="63" name="画布 3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58" name="文本框 381"/>
                        <wps:cNvSpPr txBox="1"/>
                        <wps:spPr>
                          <a:xfrm>
                            <a:off x="610207" y="859745"/>
                            <a:ext cx="1222414" cy="342918"/>
                          </a:xfrm>
                          <a:prstGeom prst="rect">
                            <a:avLst/>
                          </a:prstGeom>
                          <a:noFill/>
                          <a:ln w="6350">
                            <a:noFill/>
                          </a:ln>
                        </wps:spPr>
                        <wps:txbx>
                          <w:txbxContent>
                            <w:p>
                              <w:r>
                                <w:t>用时</w:t>
                              </w:r>
                              <w:bookmarkStart w:id="443" w:name="PO_33332A"/>
                              <w:bookmarkEnd w:id="443"/>
                              <w:r>
                                <w:t>3.98</w:t>
                              </w:r>
                              <w:r>
                                <w:rPr>
                                  <w:rFonts w:hint="eastAsia"/>
                                </w:rPr>
                                <w:t>个月</w:t>
                              </w:r>
                            </w:p>
                          </w:txbxContent>
                        </wps:txbx>
                        <wps:bodyPr upright="1"/>
                      </wps:wsp>
                      <wps:wsp>
                        <wps:cNvPr id="59" name="文本框 382"/>
                        <wps:cNvSpPr txBox="1"/>
                        <wps:spPr>
                          <a:xfrm>
                            <a:off x="2928033" y="843945"/>
                            <a:ext cx="2887932" cy="342918"/>
                          </a:xfrm>
                          <a:prstGeom prst="rect">
                            <a:avLst/>
                          </a:prstGeom>
                          <a:noFill/>
                          <a:ln w="6350">
                            <a:noFill/>
                          </a:ln>
                        </wps:spPr>
                        <wps:txbx>
                          <w:txbxContent>
                            <w:p>
                              <w:r>
                                <w:rPr>
                                  <w:rFonts w:hint="eastAsia"/>
                                </w:rPr>
                                <w:t>毕业前</w:t>
                              </w:r>
                              <w:bookmarkStart w:id="444" w:name="PO_33332B"/>
                              <w:bookmarkEnd w:id="444"/>
                              <w:r>
                                <w:t>3.31</w:t>
                              </w:r>
                              <w:r>
                                <w:rPr>
                                  <w:rFonts w:hint="eastAsia"/>
                                </w:rPr>
                                <w:t>个月</w:t>
                              </w:r>
                              <w:r>
                                <w:t>收到第一份录用通知</w:t>
                              </w:r>
                            </w:p>
                          </w:txbxContent>
                        </wps:txbx>
                        <wps:bodyPr upright="1"/>
                      </wps:wsp>
                      <pic:pic xmlns:pic="http://schemas.openxmlformats.org/drawingml/2006/picture">
                        <pic:nvPicPr>
                          <pic:cNvPr id="60" name="图形 457" descr="日历"/>
                          <pic:cNvPicPr>
                            <a:picLocks noChangeAspect="1"/>
                          </pic:cNvPicPr>
                        </pic:nvPicPr>
                        <pic:blipFill>
                          <a:blip r:embed="rId68"/>
                          <a:stretch>
                            <a:fillRect/>
                          </a:stretch>
                        </pic:blipFill>
                        <pic:spPr>
                          <a:xfrm>
                            <a:off x="695208" y="0"/>
                            <a:ext cx="914410" cy="914448"/>
                          </a:xfrm>
                          <a:prstGeom prst="rect">
                            <a:avLst/>
                          </a:prstGeom>
                          <a:noFill/>
                          <a:ln w="9525">
                            <a:noFill/>
                          </a:ln>
                        </pic:spPr>
                      </pic:pic>
                      <wps:wsp>
                        <wps:cNvPr id="61" name="直接箭头连接符 384"/>
                        <wps:cNvCnPr/>
                        <wps:spPr>
                          <a:xfrm>
                            <a:off x="1609618" y="457224"/>
                            <a:ext cx="2312126" cy="0"/>
                          </a:xfrm>
                          <a:prstGeom prst="straightConnector1">
                            <a:avLst/>
                          </a:prstGeom>
                          <a:ln w="9525" cap="flat" cmpd="sng">
                            <a:solidFill>
                              <a:schemeClr val="accent5">
                                <a:lumMod val="95000"/>
                              </a:schemeClr>
                            </a:solidFill>
                            <a:prstDash val="solid"/>
                            <a:headEnd type="none" w="med" len="med"/>
                            <a:tailEnd type="triangle" w="med" len="med"/>
                          </a:ln>
                        </wps:spPr>
                        <wps:bodyPr/>
                      </wps:wsp>
                      <pic:pic xmlns:pic="http://schemas.openxmlformats.org/drawingml/2006/picture">
                        <pic:nvPicPr>
                          <pic:cNvPr id="62" name="图形 353" descr="月历"/>
                          <pic:cNvPicPr>
                            <a:picLocks noChangeAspect="1"/>
                          </pic:cNvPicPr>
                        </pic:nvPicPr>
                        <pic:blipFill>
                          <a:blip r:embed="rId69"/>
                          <a:stretch>
                            <a:fillRect/>
                          </a:stretch>
                        </pic:blipFill>
                        <pic:spPr>
                          <a:xfrm>
                            <a:off x="3921744" y="0"/>
                            <a:ext cx="914410" cy="914448"/>
                          </a:xfrm>
                          <a:prstGeom prst="rect">
                            <a:avLst/>
                          </a:prstGeom>
                          <a:noFill/>
                          <a:ln w="9525">
                            <a:noFill/>
                          </a:ln>
                        </pic:spPr>
                      </pic:pic>
                    </wpc:wpc>
                  </a:graphicData>
                </a:graphic>
              </wp:inline>
            </w:drawing>
          </mc:Choice>
          <mc:Fallback>
            <w:pict>
              <v:group id="画布 386" o:spid="_x0000_s1026" o:spt="203" style="height:96.95pt;width:457.95pt;" coordsize="5815965,1231265" editas="canvas" o:gfxdata="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">
                <o:lock v:ext="edit" aspectratio="f"/>
                <v:rect id="画布 386" o:spid="_x0000_s1026" o:spt="1" style="position:absolute;left:0;top:0;height:1231265;width:5815965;" filled="f" stroked="f" coordsize="21600,21600" o:gfxdata="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">
                  <v:fill on="f" focussize="0,0"/>
                  <v:stroke on="f"/>
                  <v:imagedata o:title=""/>
                  <o:lock v:ext="edit" aspectratio="t"/>
                </v:rect>
                <v:shape id="文本框 381" o:spid="_x0000_s1026" o:spt="202" type="#_x0000_t202" style="position:absolute;left:610206;top:859745;height:342918;width:122241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I8YA&#10;AADcAAAADwAAAGRycy9kb3ducmV2LnhtbESPQWvCQBSE70L/w/IKvelGiyWkriIBaSl6SPTS22v2&#10;mYTuvk2zW0399a5Q8DjMzDfMYjVYI07U+9axgukkAUFcOd1yreCw34xTED4gazSOScEfeVgtH0YL&#10;zLQ7c0GnMtQiQthnqKAJocuk9FVDFv3EdcTRO7reYoiyr6Xu8Rzh1shZkrxIiy3HhQY7yhuqvstf&#10;q+Aj3+yw+JrZ9GLyt+1x3f0cPudKPT0O61cQgYZwD/+337WC53QKt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CI8YAAADcAAAADwAAAAAAAAAAAAAAAACYAgAAZHJz&#10;L2Rvd25yZXYueG1sUEsFBgAAAAAEAAQA9QAAAIsDAAAAAA==&#10;">
                  <v:fill on="f" focussize="0,0"/>
                  <v:stroke on="f" weight="0.5pt"/>
                  <v:imagedata o:title=""/>
                  <o:lock v:ext="edit" aspectratio="f"/>
                  <v:textbox>
                    <w:txbxContent>
                      <w:p>
                        <w:r>
                          <w:t>用时</w:t>
                        </w:r>
                        <w:bookmarkStart w:id="443" w:name="PO_33332A"/>
                        <w:bookmarkEnd w:id="443"/>
                        <w:r>
                          <w:t>3.98</w:t>
                        </w:r>
                        <w:r>
                          <w:rPr>
                            <w:rFonts w:hint="eastAsia"/>
                          </w:rPr>
                          <w:t>个月</w:t>
                        </w:r>
                      </w:p>
                    </w:txbxContent>
                  </v:textbox>
                </v:shape>
                <v:shape id="文本框 382" o:spid="_x0000_s1026" o:spt="202" type="#_x0000_t202" style="position:absolute;left:2928032;top:843944;height:342918;width:288793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1cVMcA&#10;AADcAAAADwAAAGRycy9kb3ducmV2LnhtbESPT2vCQBTE74V+h+UVeqsbU1pCdCMSkEppD2ou3p7Z&#10;lz+YfZtmV0399G6h4HGYmd8w88VoOnGmwbWWFUwnEQji0uqWawXFbvWSgHAeWWNnmRT8koNF9vgw&#10;x1TbC2/ovPW1CBB2KSpovO9TKV3ZkEE3sT1x8Co7GPRBDrXUA14C3HQyjqJ3abDlsNBgT3lD5XF7&#10;Mgo+89U3bg6xSa5d/vFVLfufYv+m1PPTuJyB8DT6e/i/vdYKXpMY/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dXFTHAAAA3AAAAA8AAAAAAAAAAAAAAAAAmAIAAGRy&#10;cy9kb3ducmV2LnhtbFBLBQYAAAAABAAEAPUAAACMAwAAAAA=&#10;">
                  <v:fill on="f" focussize="0,0"/>
                  <v:stroke on="f" weight="0.5pt"/>
                  <v:imagedata o:title=""/>
                  <o:lock v:ext="edit" aspectratio="f"/>
                  <v:textbox>
                    <w:txbxContent>
                      <w:p>
                        <w:r>
                          <w:rPr>
                            <w:rFonts w:hint="eastAsia"/>
                          </w:rPr>
                          <w:t>毕业前</w:t>
                        </w:r>
                        <w:bookmarkStart w:id="444" w:name="PO_33332B"/>
                        <w:bookmarkEnd w:id="444"/>
                        <w:r>
                          <w:t>3.31</w:t>
                        </w:r>
                        <w:r>
                          <w:rPr>
                            <w:rFonts w:hint="eastAsia"/>
                          </w:rPr>
                          <w:t>个月</w:t>
                        </w:r>
                        <w:r>
                          <w:t>收到第一份录用通知</w:t>
                        </w:r>
                      </w:p>
                    </w:txbxContent>
                  </v:textbox>
                </v:shape>
                <v:shape id="图形 457" o:spid="_x0000_s1026" o:spt="75" alt="日历" type="#_x0000_t75" style="position:absolute;left:695207;top:0;height:914448;width:91441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xRL/FAAAA3AAAAA8AAABkcnMvZG93bnJldi54bWxEj1FLwzAUhd8H/odwB75t6TYmpVs2RKYI&#10;grhO3OulubbR5qZL4tr9eyMIezycc77DWW8H24oz+WAcK5hNMxDEldOGawXvh8dJDiJEZI2tY1Jw&#10;oQDbzc1ojYV2Pe/pXMZaJAiHAhU0MXaFlKFqyGKYuo44eZ/OW4xJ+lpqj32C21bOs+xOWjScFhrs&#10;6KGh6rv8sQpYnrry5c3Oe+lpuXv6MF+vR6PU7Xi4X4GINMRr+L/9rBUs8gX8nUlH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8US/xQAAANwAAAAPAAAAAAAAAAAAAAAA&#10;AJ8CAABkcnMvZG93bnJldi54bWxQSwUGAAAAAAQABAD3AAAAkQMAAAAA&#10;">
                  <v:fill on="f" focussize="0,0"/>
                  <v:stroke on="f"/>
                  <v:imagedata r:id="rId68" o:title="日历"/>
                  <o:lock v:ext="edit" aspectratio="t"/>
                </v:shape>
                <v:shape id="直接箭头连接符 384" o:spid="_x0000_s1026" o:spt="32" type="#_x0000_t32" style="position:absolute;left:1609617;top:457224;height:0;width:2312125;"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sDcgAAADcAAAADwAAAGRycy9kb3ducmV2LnhtbESPT2vCQBTE70K/w/IKvZmN/4qkrmKF&#10;RqF6qLXQ3h7ZZxKafRuyq8Z8ercg9DjMzG+Y2aI1lThT40rLCgZRDII4s7rkXMHh860/BeE8ssbK&#10;Mim4koPF/KE3w0TbC3/Qee9zESDsElRQeF8nUrqsIIMusjVx8I62MeiDbHKpG7wEuKnkMI6fpcGS&#10;w0KBNa0Kyn73J6PAfk2O3bJ7TX9G6+334H0Xd2l6UOrpsV2+gPDU+v/wvb3RCkbTMfydCUd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wsDcgAAADcAAAADwAAAAAA&#10;AAAAAAAAAAChAgAAZHJzL2Rvd25yZXYueG1sUEsFBgAAAAAEAAQA+QAAAJYDAAAAAA==&#10;">
                  <v:fill on="f" focussize="0,0"/>
                  <v:stroke color="#41A7C3 [3048]" joinstyle="round" endarrow="block"/>
                  <v:imagedata o:title=""/>
                  <o:lock v:ext="edit" aspectratio="f"/>
                </v:shape>
                <v:shape id="图形 353" o:spid="_x0000_s1026" o:spt="75" alt="月历" type="#_x0000_t75" style="position:absolute;left:3921743;top:0;height:914448;width:91441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zvfHAAAA3AAAAA8AAABkcnMvZG93bnJldi54bWxEj09rwkAUxO9Cv8PyhN50o6VV02xESkXr&#10;QfBPhd4e2dckNPs2ZleTfnu3UPA4zMxvmGTemUpcqXGlZQWjYQSCOLO65FzB8bAcTEE4j6yxskwK&#10;fsnBPH3oJRhr2/KOrnufiwBhF6OCwvs6ltJlBRl0Q1sTB+/bNgZ9kE0udYNtgJtKjqPoRRosOSwU&#10;WNNbQdnP/mIUfL7ns7Nst6eVOdF5snEf6x19KfXY7xavIDx1/h7+b6+1gqfpM/ydCUdApj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szvfHAAAA3AAAAA8AAAAAAAAAAAAA&#10;AAAAnwIAAGRycy9kb3ducmV2LnhtbFBLBQYAAAAABAAEAPcAAACTAwAAAAA=&#10;">
                  <v:fill on="f" focussize="0,0"/>
                  <v:stroke on="f"/>
                  <v:imagedata r:id="rId69" o:title="月历"/>
                  <o:lock v:ext="edit" aspectratio="t"/>
                </v:shape>
                <w10:wrap type="none"/>
                <w10:anchorlock/>
              </v:group>
            </w:pict>
          </mc:Fallback>
        </mc:AlternateContent>
      </w:r>
    </w:p>
    <w:p>
      <w:pPr>
        <w:pStyle w:val="107"/>
        <w:spacing w:before="156" w:after="312"/>
      </w:pPr>
      <w:r>
        <w:rPr>
          <w:rFonts w:hint="eastAsia"/>
        </w:rPr>
        <w:t>研究生</w:t>
      </w:r>
      <w:r>
        <w:t>求职周期和收到第一份录用通知的时间</w:t>
      </w:r>
    </w:p>
    <w:p>
      <w:pPr>
        <w:pStyle w:val="67"/>
        <w:spacing w:before="156" w:after="156"/>
        <w:ind w:left="240"/>
      </w:pPr>
      <w:bookmarkStart w:id="397" w:name="PO_33335"/>
      <w:bookmarkEnd w:id="397"/>
      <w:bookmarkStart w:id="398" w:name="_Toc486857534"/>
      <w:r>
        <w:rPr>
          <w:rFonts w:hint="eastAsia"/>
        </w:rPr>
        <w:t>4.</w:t>
      </w:r>
      <w:r>
        <w:t>求职花费</w:t>
      </w:r>
      <w:bookmarkEnd w:id="398"/>
    </w:p>
    <w:p>
      <w:pPr>
        <w:pStyle w:val="123"/>
        <w:ind w:firstLine="480"/>
      </w:pPr>
      <w:bookmarkStart w:id="399" w:name="PO_33341"/>
      <w:bookmarkEnd w:id="399"/>
      <w:r>
        <w:rPr>
          <w:rFonts w:hint="eastAsia"/>
        </w:rPr>
        <w:t>调查显示，研究生用于求职的平均花费为2002.26元（N=50，SD=2849.34）。</w:t>
      </w:r>
    </w:p>
    <w:p>
      <w:pPr>
        <w:pStyle w:val="67"/>
        <w:spacing w:before="156" w:after="156"/>
        <w:ind w:left="240"/>
      </w:pPr>
      <w:bookmarkStart w:id="400" w:name="_Toc486857535"/>
      <w:r>
        <w:rPr>
          <w:rFonts w:hint="eastAsia"/>
        </w:rPr>
        <w:t>5.</w:t>
      </w:r>
      <w:r>
        <w:t>求职渠道</w:t>
      </w:r>
      <w:bookmarkEnd w:id="400"/>
    </w:p>
    <w:p>
      <w:pPr>
        <w:pStyle w:val="123"/>
        <w:ind w:firstLine="480"/>
      </w:pPr>
      <w:bookmarkStart w:id="401" w:name="PO_33351"/>
      <w:bookmarkEnd w:id="401"/>
      <w:r>
        <w:rPr>
          <w:rFonts w:hint="eastAsia"/>
        </w:rPr>
        <w:t>从调查了解毕业生主要的求职渠道，结果显示，本校研究生最主要采用的三种求职渠道依次为学校发布的招聘信息、学校组织的招聘会、老师推荐。总体来看，通过学校资源求职成功的比例为</w:t>
      </w:r>
      <w:r>
        <w:t>86.67</w:t>
      </w:r>
      <w:r>
        <w:rPr>
          <w:rFonts w:hint="eastAsia"/>
        </w:rPr>
        <w:t>%。</w:t>
      </w:r>
    </w:p>
    <w:p>
      <w:pPr>
        <w:jc w:val="center"/>
      </w:pPr>
      <w:bookmarkStart w:id="402" w:name="PO_33352"/>
      <w:bookmarkEnd w:id="402"/>
      <w:r>
        <w:rPr>
          <w:rFonts w:hint="eastAsia"/>
        </w:rPr>
        <w:drawing>
          <wp:inline distT="0" distB="0" distL="0" distR="0">
            <wp:extent cx="5274310" cy="2343150"/>
            <wp:effectExtent l="19050" t="0" r="21590" b="0"/>
            <wp:docPr id="40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pPr>
        <w:pStyle w:val="107"/>
        <w:spacing w:before="156" w:after="312"/>
      </w:pPr>
      <w:r>
        <w:rPr>
          <w:rFonts w:hint="eastAsia"/>
        </w:rPr>
        <w:t>研究生求职渠道</w:t>
      </w:r>
    </w:p>
    <w:p>
      <w:pPr>
        <w:pStyle w:val="41"/>
        <w:ind w:firstLine="480"/>
      </w:pPr>
    </w:p>
    <w:p>
      <w:pPr>
        <w:pStyle w:val="67"/>
        <w:spacing w:before="156" w:after="156"/>
        <w:ind w:left="240"/>
      </w:pPr>
      <w:bookmarkStart w:id="403" w:name="_Toc486857536"/>
      <w:r>
        <w:t>6</w:t>
      </w:r>
      <w:r>
        <w:rPr>
          <w:rFonts w:hint="eastAsia"/>
        </w:rPr>
        <w:t>.求职价值</w:t>
      </w:r>
      <w:r>
        <w:t>观</w:t>
      </w:r>
      <w:bookmarkEnd w:id="403"/>
    </w:p>
    <w:p>
      <w:pPr>
        <w:pStyle w:val="123"/>
        <w:ind w:firstLine="480"/>
      </w:pPr>
      <w:bookmarkStart w:id="404" w:name="PO_33361"/>
      <w:bookmarkEnd w:id="404"/>
      <w:r>
        <w:rPr>
          <w:rFonts w:hint="eastAsia"/>
        </w:rPr>
        <w:t>从研究生求职价值观来看，施展个人的能力和特长、实现个人的抱负和目标、发挥自己的创造性是本校研究生在求职时最看重的三个因素。</w:t>
      </w:r>
    </w:p>
    <w:p>
      <w:pPr>
        <w:jc w:val="center"/>
      </w:pPr>
      <w:bookmarkStart w:id="405" w:name="PO_33362"/>
      <w:bookmarkEnd w:id="405"/>
      <w:r>
        <w:drawing>
          <wp:inline distT="0" distB="0" distL="0" distR="0">
            <wp:extent cx="5200650" cy="3629025"/>
            <wp:effectExtent l="0" t="0" r="0" b="0"/>
            <wp:docPr id="410" name="图表 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pPr>
        <w:pStyle w:val="107"/>
        <w:spacing w:before="156" w:after="312"/>
      </w:pPr>
      <w:r>
        <w:rPr>
          <w:rFonts w:hint="eastAsia"/>
        </w:rPr>
        <w:t>研究生求职价值观</w:t>
      </w:r>
    </w:p>
    <w:p>
      <w:pPr>
        <w:pStyle w:val="41"/>
        <w:ind w:firstLine="480"/>
      </w:pPr>
    </w:p>
    <w:p>
      <w:pPr>
        <w:pStyle w:val="47"/>
        <w:spacing w:before="312" w:after="156"/>
      </w:pPr>
      <w:bookmarkStart w:id="406" w:name="_Toc486857537"/>
      <w:r>
        <w:rPr>
          <w:rFonts w:hint="eastAsia"/>
        </w:rPr>
        <w:t>四</w:t>
      </w:r>
      <w:r>
        <w:t>、</w:t>
      </w:r>
      <w:r>
        <w:rPr>
          <w:rFonts w:hint="eastAsia"/>
        </w:rPr>
        <w:t>自主创业</w:t>
      </w:r>
      <w:bookmarkEnd w:id="406"/>
    </w:p>
    <w:p>
      <w:pPr>
        <w:pStyle w:val="123"/>
        <w:ind w:firstLine="480"/>
      </w:pPr>
      <w:bookmarkStart w:id="407" w:name="PO_34"/>
      <w:bookmarkEnd w:id="407"/>
      <w:r>
        <w:rPr>
          <w:rFonts w:hint="eastAsia"/>
        </w:rPr>
        <w:t>本次调查共有20名毕业生表示自己的毕业去向为“自主创业”，占有效样本总数的5.49%。其中，本科生13人，研究生7人。本部分报告从创业原因、创业地区、创业行业、筹资途径以及所遇困难等方面来反应我校毕业生的自主创业情况。</w:t>
      </w:r>
    </w:p>
    <w:p>
      <w:pPr>
        <w:pStyle w:val="49"/>
        <w:spacing w:before="156" w:after="156"/>
        <w:ind w:left="120"/>
      </w:pPr>
      <w:bookmarkStart w:id="408" w:name="_Toc486857538"/>
      <w:r>
        <w:rPr>
          <w:rFonts w:hint="eastAsia"/>
        </w:rPr>
        <w:t>（一）</w:t>
      </w:r>
      <w:r>
        <w:t>自主</w:t>
      </w:r>
      <w:r>
        <w:rPr>
          <w:rFonts w:hint="eastAsia"/>
        </w:rPr>
        <w:t>创业的原因</w:t>
      </w:r>
      <w:bookmarkEnd w:id="408"/>
    </w:p>
    <w:p>
      <w:pPr>
        <w:pStyle w:val="123"/>
        <w:ind w:firstLine="480"/>
      </w:pPr>
      <w:bookmarkStart w:id="409" w:name="PO_3411"/>
      <w:bookmarkEnd w:id="409"/>
      <w:r>
        <w:rPr>
          <w:rFonts w:hint="eastAsia"/>
        </w:rPr>
        <w:t>调查显示，本校毕业生选择自主创业的主要原因依次为：“个人理想”（40.00%）、“有好的创业点子想实践”（25.00%）和“期待有较高收入（25.00%）”。从中能够看出，大部分创业者并非是受他人或环境的影响，而是出于自己的愿望和理想而选择创业。</w:t>
      </w:r>
    </w:p>
    <w:p>
      <w:pPr>
        <w:jc w:val="center"/>
      </w:pPr>
      <w:bookmarkStart w:id="410" w:name="PO_3412"/>
      <w:bookmarkEnd w:id="410"/>
      <w:r>
        <w:rPr>
          <w:rFonts w:hint="eastAsia"/>
        </w:rPr>
        <w:drawing>
          <wp:inline distT="0" distB="0" distL="0" distR="0">
            <wp:extent cx="5274310" cy="2343150"/>
            <wp:effectExtent l="19050" t="0" r="21590" b="0"/>
            <wp:docPr id="41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pPr>
        <w:pStyle w:val="107"/>
        <w:spacing w:before="156" w:after="312"/>
      </w:pPr>
      <w:r>
        <w:rPr>
          <w:rFonts w:hint="eastAsia"/>
        </w:rPr>
        <w:t>毕业生自主创业的原因</w:t>
      </w:r>
    </w:p>
    <w:p>
      <w:pPr>
        <w:pStyle w:val="41"/>
        <w:ind w:firstLine="480"/>
        <w:jc w:val="left"/>
      </w:pPr>
    </w:p>
    <w:p>
      <w:pPr>
        <w:pStyle w:val="49"/>
        <w:spacing w:before="156" w:after="156"/>
        <w:ind w:left="120"/>
      </w:pPr>
      <w:bookmarkStart w:id="411" w:name="_Toc486857539"/>
      <w:r>
        <w:rPr>
          <w:rFonts w:hint="eastAsia"/>
        </w:rPr>
        <w:t>（二）自主创业</w:t>
      </w:r>
      <w:r>
        <w:t>的地区</w:t>
      </w:r>
      <w:bookmarkEnd w:id="411"/>
    </w:p>
    <w:p>
      <w:pPr>
        <w:pStyle w:val="123"/>
        <w:ind w:firstLine="480"/>
      </w:pPr>
      <w:bookmarkStart w:id="412" w:name="PO_3421"/>
      <w:bookmarkEnd w:id="412"/>
      <w:r>
        <w:rPr>
          <w:rFonts w:hint="eastAsia"/>
        </w:rPr>
        <w:t>调查显示，80.00%的毕业生选择在北京创业。从地理位置看，京外创业的毕业生最主要选择在东部地区（15.00%）创业；从经济区域看，京外创业的毕业生分别选择在北部沿海经济区（5.00%）、东部沿海经济区（5.00%）、南部沿海经济区（5.00%）和长江中游经济区（5.00%）创业。</w:t>
      </w:r>
    </w:p>
    <w:p>
      <w:pPr>
        <w:jc w:val="center"/>
      </w:pPr>
      <w:bookmarkStart w:id="413" w:name="PO_3422"/>
      <w:bookmarkEnd w:id="413"/>
      <w:r>
        <w:drawing>
          <wp:inline distT="0" distB="0" distL="0" distR="0">
            <wp:extent cx="5274310" cy="3076575"/>
            <wp:effectExtent l="19050" t="0" r="21590" b="0"/>
            <wp:docPr id="412" name="图表 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pPr>
        <w:pStyle w:val="107"/>
        <w:spacing w:before="156" w:after="312"/>
      </w:pPr>
      <w:r>
        <w:rPr>
          <w:rFonts w:hint="eastAsia"/>
        </w:rPr>
        <w:t>毕业生自主创业的地区</w:t>
      </w:r>
    </w:p>
    <w:p>
      <w:pPr>
        <w:pStyle w:val="41"/>
        <w:ind w:firstLine="480"/>
      </w:pPr>
    </w:p>
    <w:p>
      <w:pPr>
        <w:jc w:val="center"/>
      </w:pPr>
      <w:bookmarkStart w:id="414" w:name="PO_3423"/>
      <w:bookmarkEnd w:id="414"/>
      <w:r>
        <w:drawing>
          <wp:inline distT="0" distB="0" distL="0" distR="0">
            <wp:extent cx="5219700" cy="2647950"/>
            <wp:effectExtent l="19050" t="0" r="19050" b="0"/>
            <wp:docPr id="413"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pPr>
        <w:pStyle w:val="107"/>
        <w:spacing w:before="156" w:after="312"/>
      </w:pPr>
      <w:r>
        <w:rPr>
          <w:rFonts w:hint="eastAsia"/>
        </w:rPr>
        <w:t>毕业生自主创业的地区（经济区）</w:t>
      </w:r>
    </w:p>
    <w:p>
      <w:pPr>
        <w:pStyle w:val="41"/>
        <w:ind w:firstLine="480"/>
      </w:pPr>
    </w:p>
    <w:p>
      <w:pPr>
        <w:pStyle w:val="49"/>
        <w:spacing w:before="156" w:after="156"/>
        <w:ind w:left="120"/>
      </w:pPr>
      <w:bookmarkStart w:id="415" w:name="_Toc486857540"/>
      <w:r>
        <w:rPr>
          <w:rFonts w:hint="eastAsia"/>
        </w:rPr>
        <w:t>（三）自主创业</w:t>
      </w:r>
      <w:r>
        <w:t>的行业</w:t>
      </w:r>
      <w:r>
        <w:rPr>
          <w:rStyle w:val="31"/>
        </w:rPr>
        <w:footnoteReference w:id="6"/>
      </w:r>
      <w:bookmarkEnd w:id="415"/>
    </w:p>
    <w:p>
      <w:pPr>
        <w:pStyle w:val="123"/>
        <w:ind w:firstLine="480"/>
      </w:pPr>
      <w:bookmarkStart w:id="416" w:name="PO_3431"/>
      <w:bookmarkEnd w:id="416"/>
      <w:r>
        <w:rPr>
          <w:rFonts w:hint="eastAsia"/>
        </w:rPr>
        <w:t>本校毕业生自主创业的行业主要集中于第三产业，占100.00%。其中，前三位依次为文化、体育和娱乐业（70.00%）、教育及科研行业（15.00%）、军队（10.00%）。</w:t>
      </w:r>
    </w:p>
    <w:p>
      <w:pPr>
        <w:jc w:val="center"/>
      </w:pPr>
      <w:bookmarkStart w:id="417" w:name="PO_3432"/>
      <w:bookmarkEnd w:id="417"/>
      <w:r>
        <w:drawing>
          <wp:inline distT="0" distB="0" distL="0" distR="0">
            <wp:extent cx="5219700" cy="2647950"/>
            <wp:effectExtent l="19050" t="0" r="19050" b="0"/>
            <wp:docPr id="41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pPr>
        <w:pStyle w:val="107"/>
        <w:spacing w:before="156" w:after="312"/>
      </w:pPr>
      <w:r>
        <w:rPr>
          <w:rFonts w:hint="eastAsia"/>
        </w:rPr>
        <w:t>毕业生自主创业的行业</w:t>
      </w:r>
    </w:p>
    <w:p>
      <w:pPr>
        <w:pStyle w:val="41"/>
        <w:ind w:firstLine="480"/>
      </w:pPr>
    </w:p>
    <w:p>
      <w:pPr>
        <w:pStyle w:val="49"/>
        <w:spacing w:before="156" w:after="156"/>
        <w:ind w:left="120"/>
      </w:pPr>
      <w:bookmarkStart w:id="418" w:name="_Toc486857541"/>
      <w:r>
        <w:rPr>
          <w:rFonts w:hint="eastAsia"/>
        </w:rPr>
        <w:t>（四）</w:t>
      </w:r>
      <w:r>
        <w:t>创业工作与所学专业</w:t>
      </w:r>
      <w:r>
        <w:rPr>
          <w:rFonts w:hint="eastAsia"/>
        </w:rPr>
        <w:t>的</w:t>
      </w:r>
      <w:r>
        <w:t>相关</w:t>
      </w:r>
      <w:r>
        <w:rPr>
          <w:rFonts w:hint="eastAsia"/>
        </w:rPr>
        <w:t>程度</w:t>
      </w:r>
      <w:bookmarkEnd w:id="418"/>
    </w:p>
    <w:p>
      <w:pPr>
        <w:pStyle w:val="123"/>
        <w:ind w:firstLine="480"/>
      </w:pPr>
      <w:bookmarkStart w:id="419" w:name="PO_3441"/>
      <w:bookmarkEnd w:id="419"/>
      <w:r>
        <w:rPr>
          <w:rFonts w:hint="eastAsia"/>
        </w:rPr>
        <w:t>总体而言，本校毕业生评价创业工作与专业相关程度的均分为4.10，相当于百分制的82.00分。其中，认为创业项目与专业“很相关”或“相关”的毕业生占75.00%，认为与专业“很不相关”的占5.00%。</w:t>
      </w:r>
    </w:p>
    <w:p>
      <w:pPr>
        <w:jc w:val="center"/>
      </w:pPr>
      <w:bookmarkStart w:id="420" w:name="PO_3442"/>
      <w:bookmarkEnd w:id="420"/>
      <w:r>
        <w:drawing>
          <wp:inline distT="0" distB="0" distL="0" distR="0">
            <wp:extent cx="5219700" cy="2647950"/>
            <wp:effectExtent l="0" t="0" r="0" b="0"/>
            <wp:docPr id="415"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pPr>
        <w:pStyle w:val="107"/>
        <w:spacing w:before="156" w:after="312"/>
      </w:pPr>
      <w:r>
        <w:rPr>
          <w:rFonts w:hint="eastAsia"/>
        </w:rPr>
        <w:t>毕业生创业与所学专业的相关程度</w:t>
      </w:r>
    </w:p>
    <w:p>
      <w:pPr>
        <w:pStyle w:val="41"/>
        <w:ind w:firstLine="480"/>
      </w:pPr>
    </w:p>
    <w:p>
      <w:pPr>
        <w:pStyle w:val="49"/>
        <w:spacing w:before="156" w:after="156"/>
        <w:ind w:left="120"/>
      </w:pPr>
      <w:bookmarkStart w:id="421" w:name="_Toc486857542"/>
      <w:r>
        <w:rPr>
          <w:rFonts w:hint="eastAsia"/>
        </w:rPr>
        <w:t>（五）创业</w:t>
      </w:r>
      <w:r>
        <w:t>项目的筹资</w:t>
      </w:r>
      <w:r>
        <w:rPr>
          <w:rFonts w:hint="eastAsia"/>
        </w:rPr>
        <w:t>途径</w:t>
      </w:r>
      <w:bookmarkEnd w:id="421"/>
    </w:p>
    <w:p>
      <w:pPr>
        <w:pStyle w:val="123"/>
        <w:ind w:firstLine="480"/>
      </w:pPr>
      <w:bookmarkStart w:id="422" w:name="PO_3451"/>
      <w:bookmarkEnd w:id="422"/>
      <w:r>
        <w:rPr>
          <w:rFonts w:hint="eastAsia"/>
        </w:rPr>
        <w:t>总体而言，65.00%的毕业生主要依赖单一的筹资途径，35.00%的毕业生通过两种及以上途径筹资。其中，自筹资金（95.00%）是最主要的筹资途径。</w:t>
      </w:r>
    </w:p>
    <w:p>
      <w:pPr>
        <w:pStyle w:val="55"/>
        <w:spacing w:before="312" w:after="156"/>
      </w:pPr>
      <w:bookmarkStart w:id="423" w:name="PO_3452"/>
      <w:bookmarkEnd w:id="423"/>
      <w:r>
        <w:rPr>
          <w:rFonts w:hint="eastAsia"/>
        </w:rPr>
        <w:t>毕业生自主创业的筹资途径及数目</w:t>
      </w:r>
    </w:p>
    <w:tbl>
      <w:tblPr>
        <w:tblStyle w:val="125"/>
        <w:tblW w:w="7589" w:type="dxa"/>
        <w:jc w:val="center"/>
        <w:tblInd w:w="0"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1910"/>
        <w:gridCol w:w="1843"/>
        <w:gridCol w:w="1843"/>
        <w:gridCol w:w="1993"/>
      </w:tblGrid>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74" w:hRule="atLeast"/>
          <w:jc w:val="center"/>
        </w:trPr>
        <w:tc>
          <w:tcPr>
            <w:tcW w:w="1910" w:type="dxa"/>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4BACC6" w:themeFill="accent5"/>
          </w:tcPr>
          <w:p>
            <w:pPr>
              <w:widowControl/>
              <w:jc w:val="center"/>
              <w:rPr>
                <w:rFonts w:cs="Times New Roman"/>
                <w:b/>
                <w:bCs/>
                <w:color w:val="FFFFFF" w:themeColor="background1"/>
                <w:kern w:val="0"/>
                <w:sz w:val="21"/>
                <w:szCs w:val="21"/>
              </w:rPr>
            </w:pPr>
          </w:p>
        </w:tc>
        <w:tc>
          <w:tcPr>
            <w:tcW w:w="1843" w:type="dxa"/>
            <w:tcBorders>
              <w:top w:val="single" w:color="4BACC6" w:themeColor="accent5" w:sz="4" w:space="0"/>
              <w:bottom w:val="single" w:color="4BACC6" w:themeColor="accent5" w:sz="4" w:space="0"/>
              <w:right w:val="nil"/>
              <w:insideH w:val="single" w:sz="4" w:space="0"/>
              <w:insideV w:val="nil"/>
            </w:tcBorders>
            <w:shd w:val="clear" w:color="auto" w:fill="4BACC6" w:themeFill="accent5"/>
          </w:tcPr>
          <w:p>
            <w:pPr>
              <w:widowControl/>
              <w:jc w:val="center"/>
              <w:rPr>
                <w:rFonts w:cs="Times New Roman"/>
                <w:b/>
                <w:bCs/>
                <w:color w:val="FFFFFF" w:themeColor="background1"/>
                <w:kern w:val="0"/>
                <w:sz w:val="21"/>
                <w:szCs w:val="21"/>
              </w:rPr>
            </w:pPr>
          </w:p>
        </w:tc>
        <w:tc>
          <w:tcPr>
            <w:tcW w:w="1843" w:type="dxa"/>
            <w:tcBorders>
              <w:top w:val="single" w:color="4BACC6" w:themeColor="accent5" w:sz="4" w:space="0"/>
              <w:bottom w:val="single" w:color="4BACC6" w:themeColor="accent5" w:sz="4" w:space="0"/>
              <w:right w:val="nil"/>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cs="Times New Roman"/>
                <w:b/>
                <w:bCs/>
                <w:color w:val="FFFFFF" w:themeColor="background1"/>
                <w:kern w:val="0"/>
                <w:sz w:val="21"/>
                <w:szCs w:val="21"/>
              </w:rPr>
              <w:t>人数</w:t>
            </w:r>
          </w:p>
        </w:tc>
        <w:tc>
          <w:tcPr>
            <w:tcW w:w="1993" w:type="dxa"/>
            <w:tcBorders>
              <w:top w:val="single" w:color="4BACC6" w:themeColor="accent5" w:sz="4" w:space="0"/>
              <w:bottom w:val="single" w:color="4BACC6" w:themeColor="accent5" w:sz="4" w:space="0"/>
              <w:right w:val="single" w:color="4BACC6" w:themeColor="accent5" w:sz="4" w:space="0"/>
              <w:insideH w:val="single" w:sz="4" w:space="0"/>
              <w:insideV w:val="nil"/>
            </w:tcBorders>
            <w:shd w:val="clear" w:color="auto" w:fill="4BACC6" w:themeFill="accent5"/>
            <w:vAlign w:val="center"/>
          </w:tcPr>
          <w:p>
            <w:pPr>
              <w:widowControl/>
              <w:jc w:val="center"/>
              <w:rPr>
                <w:rFonts w:cs="Times New Roman"/>
                <w:b/>
                <w:bCs/>
                <w:color w:val="FFFFFF" w:themeColor="background1"/>
                <w:kern w:val="0"/>
                <w:sz w:val="21"/>
                <w:szCs w:val="21"/>
              </w:rPr>
            </w:pPr>
            <w:r>
              <w:rPr>
                <w:rFonts w:hint="eastAsia" w:cs="Times New Roman"/>
                <w:b/>
                <w:bCs/>
                <w:color w:val="FFFFFF" w:themeColor="background1"/>
                <w:kern w:val="0"/>
                <w:sz w:val="21"/>
                <w:szCs w:val="21"/>
              </w:rPr>
              <w:t>有效%</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30" w:hRule="atLeast"/>
          <w:jc w:val="center"/>
        </w:trPr>
        <w:tc>
          <w:tcPr>
            <w:tcW w:w="1910" w:type="dxa"/>
            <w:vMerge w:val="restart"/>
            <w:shd w:val="clear" w:color="auto" w:fill="DAEEF3" w:themeFill="accent5" w:themeFillTint="33"/>
            <w:vAlign w:val="center"/>
          </w:tcPr>
          <w:p>
            <w:pPr>
              <w:widowControl/>
              <w:jc w:val="center"/>
              <w:rPr>
                <w:rFonts w:cs="Times New Roman"/>
                <w:b/>
                <w:bCs/>
                <w:color w:val="000000"/>
                <w:kern w:val="0"/>
                <w:sz w:val="21"/>
                <w:szCs w:val="21"/>
              </w:rPr>
            </w:pPr>
            <w:r>
              <w:rPr>
                <w:rFonts w:hint="eastAsia" w:cs="Times New Roman"/>
                <w:b/>
                <w:bCs/>
                <w:color w:val="000000"/>
                <w:kern w:val="0"/>
                <w:sz w:val="21"/>
                <w:szCs w:val="21"/>
              </w:rPr>
              <w:t>筹资途径数目</w:t>
            </w:r>
          </w:p>
        </w:tc>
        <w:tc>
          <w:tcPr>
            <w:tcW w:w="1843" w:type="dxa"/>
            <w:shd w:val="clear" w:color="auto" w:fill="DAEEF3" w:themeFill="accent5" w:themeFillTint="33"/>
            <w:vAlign w:val="center"/>
          </w:tcPr>
          <w:p>
            <w:pPr>
              <w:widowControl/>
              <w:jc w:val="left"/>
              <w:rPr>
                <w:rFonts w:cs="Times New Roman" w:asciiTheme="minorEastAsia" w:hAnsiTheme="minorEastAsia"/>
                <w:color w:val="000000"/>
                <w:kern w:val="0"/>
                <w:sz w:val="21"/>
                <w:szCs w:val="21"/>
              </w:rPr>
            </w:pPr>
            <w:r>
              <w:rPr>
                <w:rFonts w:asciiTheme="minorEastAsia" w:hAnsiTheme="minorEastAsia"/>
                <w:kern w:val="0"/>
                <w:sz w:val="21"/>
                <w:szCs w:val="21"/>
              </w:rPr>
              <w:t>1个</w:t>
            </w:r>
          </w:p>
        </w:tc>
        <w:tc>
          <w:tcPr>
            <w:tcW w:w="1843"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eastAsia="宋体" w:cs="Times New Roman"/>
                <w:kern w:val="0"/>
                <w:sz w:val="21"/>
                <w:szCs w:val="21"/>
              </w:rPr>
              <w:t>13</w:t>
            </w:r>
          </w:p>
        </w:tc>
        <w:tc>
          <w:tcPr>
            <w:tcW w:w="1993" w:type="dxa"/>
            <w:shd w:val="clear" w:color="auto" w:fill="DAEEF3" w:themeFill="accent5" w:themeFillTint="33"/>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sz w:val="21"/>
              </w:rPr>
              <w:t>65.00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30" w:hRule="atLeast"/>
          <w:jc w:val="center"/>
        </w:trPr>
        <w:tc>
          <w:tcPr>
            <w:tcW w:w="1910" w:type="dxa"/>
            <w:vMerge w:val="continue"/>
            <w:vAlign w:val="center"/>
          </w:tcPr>
          <w:p>
            <w:pPr>
              <w:widowControl/>
              <w:jc w:val="center"/>
              <w:rPr>
                <w:rFonts w:cs="Times New Roman"/>
                <w:b/>
                <w:bCs/>
                <w:color w:val="000000"/>
                <w:kern w:val="0"/>
                <w:sz w:val="21"/>
                <w:szCs w:val="21"/>
              </w:rPr>
            </w:pPr>
          </w:p>
        </w:tc>
        <w:tc>
          <w:tcPr>
            <w:tcW w:w="1843" w:type="dxa"/>
            <w:vAlign w:val="center"/>
          </w:tcPr>
          <w:p>
            <w:pPr>
              <w:widowControl/>
              <w:jc w:val="left"/>
              <w:rPr>
                <w:rFonts w:cs="Times New Roman" w:asciiTheme="minorEastAsia" w:hAnsiTheme="minorEastAsia"/>
                <w:color w:val="000000"/>
                <w:kern w:val="0"/>
                <w:sz w:val="21"/>
                <w:szCs w:val="21"/>
              </w:rPr>
            </w:pPr>
            <w:r>
              <w:rPr>
                <w:rFonts w:asciiTheme="minorEastAsia" w:hAnsiTheme="minorEastAsia"/>
                <w:kern w:val="0"/>
                <w:sz w:val="21"/>
                <w:szCs w:val="21"/>
              </w:rPr>
              <w:t>2个</w:t>
            </w:r>
          </w:p>
        </w:tc>
        <w:tc>
          <w:tcPr>
            <w:tcW w:w="1843"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sz w:val="21"/>
              </w:rPr>
              <w:t>6</w:t>
            </w:r>
          </w:p>
        </w:tc>
        <w:tc>
          <w:tcPr>
            <w:tcW w:w="1993" w:type="dxa"/>
            <w:vAlign w:val="center"/>
          </w:tcPr>
          <w:p>
            <w:pPr>
              <w:widowControl/>
              <w:jc w:val="center"/>
              <w:rPr>
                <w:rFonts w:ascii="Times New Roman" w:hAnsi="Times New Roman" w:cs="Times New Roman"/>
                <w:color w:val="000000"/>
                <w:kern w:val="0"/>
                <w:sz w:val="21"/>
                <w:szCs w:val="21"/>
              </w:rPr>
            </w:pPr>
            <w:r>
              <w:rPr>
                <w:rFonts w:ascii="Times New Roman" w:hAnsi="Times New Roman" w:cs="Times New Roman"/>
                <w:sz w:val="21"/>
              </w:rPr>
              <w:t>30.00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30" w:hRule="atLeast"/>
          <w:jc w:val="center"/>
        </w:trPr>
        <w:tc>
          <w:tcPr>
            <w:tcW w:w="1910" w:type="dxa"/>
            <w:vMerge w:val="continue"/>
            <w:shd w:val="clear" w:color="auto" w:fill="DAEEF3" w:themeFill="accent5" w:themeFillTint="33"/>
            <w:vAlign w:val="center"/>
          </w:tcPr>
          <w:p>
            <w:pPr>
              <w:widowControl/>
              <w:jc w:val="center"/>
              <w:rPr>
                <w:rFonts w:cs="Times New Roman"/>
                <w:b/>
                <w:bCs/>
                <w:color w:val="000000"/>
                <w:kern w:val="0"/>
                <w:sz w:val="21"/>
                <w:szCs w:val="21"/>
              </w:rPr>
            </w:pPr>
          </w:p>
        </w:tc>
        <w:tc>
          <w:tcPr>
            <w:tcW w:w="1843" w:type="dxa"/>
            <w:shd w:val="clear" w:color="auto" w:fill="DAEEF3" w:themeFill="accent5" w:themeFillTint="33"/>
            <w:vAlign w:val="center"/>
          </w:tcPr>
          <w:p>
            <w:pPr>
              <w:widowControl/>
              <w:jc w:val="left"/>
              <w:rPr>
                <w:rFonts w:asciiTheme="minorEastAsia" w:hAnsiTheme="minorEastAsia"/>
                <w:kern w:val="0"/>
                <w:sz w:val="21"/>
                <w:szCs w:val="21"/>
              </w:rPr>
            </w:pPr>
            <w:r>
              <w:rPr>
                <w:rFonts w:asciiTheme="minorEastAsia" w:hAnsiTheme="minorEastAsia"/>
                <w:kern w:val="0"/>
                <w:sz w:val="21"/>
                <w:szCs w:val="21"/>
              </w:rPr>
              <w:t>3个</w:t>
            </w:r>
          </w:p>
        </w:tc>
        <w:tc>
          <w:tcPr>
            <w:tcW w:w="1843"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1</w:t>
            </w:r>
          </w:p>
        </w:tc>
        <w:tc>
          <w:tcPr>
            <w:tcW w:w="1993"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5.00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30" w:hRule="atLeast"/>
          <w:jc w:val="center"/>
        </w:trPr>
        <w:tc>
          <w:tcPr>
            <w:tcW w:w="1910" w:type="dxa"/>
            <w:vMerge w:val="restart"/>
            <w:vAlign w:val="center"/>
          </w:tcPr>
          <w:p>
            <w:pPr>
              <w:widowControl/>
              <w:jc w:val="center"/>
              <w:rPr>
                <w:rFonts w:cs="Times New Roman"/>
                <w:b/>
                <w:bCs/>
                <w:color w:val="000000"/>
                <w:kern w:val="0"/>
                <w:sz w:val="21"/>
                <w:szCs w:val="21"/>
              </w:rPr>
            </w:pPr>
            <w:r>
              <w:rPr>
                <w:rFonts w:hint="eastAsia" w:cs="Times New Roman"/>
                <w:b/>
                <w:bCs/>
                <w:color w:val="000000"/>
                <w:kern w:val="0"/>
                <w:sz w:val="21"/>
                <w:szCs w:val="21"/>
              </w:rPr>
              <w:t>筹资途径</w:t>
            </w:r>
          </w:p>
        </w:tc>
        <w:tc>
          <w:tcPr>
            <w:tcW w:w="1843" w:type="dxa"/>
            <w:vAlign w:val="center"/>
          </w:tcPr>
          <w:p>
            <w:pPr>
              <w:widowControl/>
              <w:jc w:val="left"/>
              <w:rPr>
                <w:rFonts w:asciiTheme="minorEastAsia" w:hAnsiTheme="minorEastAsia"/>
                <w:kern w:val="0"/>
                <w:sz w:val="21"/>
                <w:szCs w:val="21"/>
              </w:rPr>
            </w:pPr>
            <w:r>
              <w:rPr>
                <w:rFonts w:hint="eastAsia" w:asciiTheme="minorEastAsia" w:hAnsiTheme="minorEastAsia"/>
                <w:kern w:val="0"/>
                <w:sz w:val="21"/>
                <w:szCs w:val="21"/>
              </w:rPr>
              <w:t>自筹资金</w:t>
            </w:r>
          </w:p>
        </w:tc>
        <w:tc>
          <w:tcPr>
            <w:tcW w:w="1843" w:type="dxa"/>
            <w:vAlign w:val="center"/>
          </w:tcPr>
          <w:p>
            <w:pPr>
              <w:widowControl/>
              <w:jc w:val="center"/>
              <w:rPr>
                <w:rFonts w:ascii="Times New Roman" w:hAnsi="Times New Roman" w:cs="Times New Roman"/>
                <w:sz w:val="21"/>
              </w:rPr>
            </w:pPr>
            <w:r>
              <w:rPr>
                <w:rFonts w:ascii="Times New Roman" w:hAnsi="Times New Roman" w:cs="Times New Roman"/>
                <w:sz w:val="21"/>
              </w:rPr>
              <w:t>19</w:t>
            </w:r>
          </w:p>
        </w:tc>
        <w:tc>
          <w:tcPr>
            <w:tcW w:w="1993" w:type="dxa"/>
            <w:vAlign w:val="center"/>
          </w:tcPr>
          <w:p>
            <w:pPr>
              <w:widowControl/>
              <w:jc w:val="center"/>
              <w:rPr>
                <w:rFonts w:ascii="Times New Roman" w:hAnsi="Times New Roman" w:cs="Times New Roman"/>
                <w:sz w:val="21"/>
              </w:rPr>
            </w:pPr>
            <w:r>
              <w:rPr>
                <w:rFonts w:ascii="Times New Roman" w:hAnsi="Times New Roman" w:cs="Times New Roman"/>
                <w:sz w:val="21"/>
              </w:rPr>
              <w:t>95.00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30" w:hRule="atLeast"/>
          <w:jc w:val="center"/>
        </w:trPr>
        <w:tc>
          <w:tcPr>
            <w:tcW w:w="1910" w:type="dxa"/>
            <w:vMerge w:val="continue"/>
            <w:shd w:val="clear" w:color="auto" w:fill="DAEEF3" w:themeFill="accent5" w:themeFillTint="33"/>
            <w:vAlign w:val="center"/>
          </w:tcPr>
          <w:p>
            <w:pPr>
              <w:widowControl/>
              <w:jc w:val="center"/>
              <w:rPr>
                <w:rFonts w:cs="Times New Roman"/>
                <w:b/>
                <w:bCs/>
                <w:color w:val="000000"/>
                <w:kern w:val="0"/>
                <w:sz w:val="21"/>
                <w:szCs w:val="21"/>
              </w:rPr>
            </w:pPr>
          </w:p>
        </w:tc>
        <w:tc>
          <w:tcPr>
            <w:tcW w:w="1843" w:type="dxa"/>
            <w:shd w:val="clear" w:color="auto" w:fill="DAEEF3" w:themeFill="accent5" w:themeFillTint="33"/>
            <w:vAlign w:val="center"/>
          </w:tcPr>
          <w:p>
            <w:pPr>
              <w:widowControl/>
              <w:jc w:val="left"/>
              <w:rPr>
                <w:rFonts w:asciiTheme="minorEastAsia" w:hAnsiTheme="minorEastAsia"/>
                <w:kern w:val="0"/>
                <w:sz w:val="21"/>
                <w:szCs w:val="21"/>
              </w:rPr>
            </w:pPr>
            <w:r>
              <w:rPr>
                <w:rFonts w:hint="eastAsia" w:asciiTheme="minorEastAsia" w:hAnsiTheme="minorEastAsia"/>
                <w:kern w:val="0"/>
                <w:sz w:val="21"/>
                <w:szCs w:val="21"/>
              </w:rPr>
              <w:t>技术融资</w:t>
            </w:r>
          </w:p>
        </w:tc>
        <w:tc>
          <w:tcPr>
            <w:tcW w:w="1843"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2</w:t>
            </w:r>
          </w:p>
        </w:tc>
        <w:tc>
          <w:tcPr>
            <w:tcW w:w="1993"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10.00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30" w:hRule="atLeast"/>
          <w:jc w:val="center"/>
        </w:trPr>
        <w:tc>
          <w:tcPr>
            <w:tcW w:w="1910" w:type="dxa"/>
            <w:vMerge w:val="continue"/>
            <w:vAlign w:val="center"/>
          </w:tcPr>
          <w:p>
            <w:pPr>
              <w:widowControl/>
              <w:jc w:val="center"/>
              <w:rPr>
                <w:rFonts w:cs="Times New Roman"/>
                <w:b/>
                <w:bCs/>
                <w:color w:val="000000"/>
                <w:kern w:val="0"/>
                <w:sz w:val="21"/>
                <w:szCs w:val="21"/>
              </w:rPr>
            </w:pPr>
          </w:p>
        </w:tc>
        <w:tc>
          <w:tcPr>
            <w:tcW w:w="1843" w:type="dxa"/>
            <w:vAlign w:val="center"/>
          </w:tcPr>
          <w:p>
            <w:pPr>
              <w:widowControl/>
              <w:jc w:val="left"/>
              <w:rPr>
                <w:rFonts w:asciiTheme="minorEastAsia" w:hAnsiTheme="minorEastAsia"/>
                <w:kern w:val="0"/>
                <w:sz w:val="21"/>
                <w:szCs w:val="21"/>
              </w:rPr>
            </w:pPr>
            <w:r>
              <w:rPr>
                <w:rFonts w:hint="eastAsia" w:asciiTheme="minorEastAsia" w:hAnsiTheme="minorEastAsia"/>
                <w:kern w:val="0"/>
                <w:sz w:val="21"/>
                <w:szCs w:val="21"/>
              </w:rPr>
              <w:t>天使投资</w:t>
            </w:r>
          </w:p>
        </w:tc>
        <w:tc>
          <w:tcPr>
            <w:tcW w:w="1843" w:type="dxa"/>
            <w:vAlign w:val="center"/>
          </w:tcPr>
          <w:p>
            <w:pPr>
              <w:widowControl/>
              <w:jc w:val="center"/>
              <w:rPr>
                <w:rFonts w:ascii="Times New Roman" w:hAnsi="Times New Roman" w:cs="Times New Roman"/>
                <w:sz w:val="21"/>
              </w:rPr>
            </w:pPr>
            <w:r>
              <w:rPr>
                <w:rFonts w:ascii="Times New Roman" w:hAnsi="Times New Roman" w:cs="Times New Roman"/>
                <w:sz w:val="21"/>
              </w:rPr>
              <w:t>4</w:t>
            </w:r>
          </w:p>
        </w:tc>
        <w:tc>
          <w:tcPr>
            <w:tcW w:w="1993" w:type="dxa"/>
            <w:vAlign w:val="center"/>
          </w:tcPr>
          <w:p>
            <w:pPr>
              <w:widowControl/>
              <w:jc w:val="center"/>
              <w:rPr>
                <w:rFonts w:ascii="Times New Roman" w:hAnsi="Times New Roman" w:cs="Times New Roman"/>
                <w:sz w:val="21"/>
              </w:rPr>
            </w:pPr>
            <w:r>
              <w:rPr>
                <w:rFonts w:ascii="Times New Roman" w:hAnsi="Times New Roman" w:cs="Times New Roman"/>
                <w:sz w:val="21"/>
              </w:rPr>
              <w:t>20.00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30" w:hRule="atLeast"/>
          <w:jc w:val="center"/>
        </w:trPr>
        <w:tc>
          <w:tcPr>
            <w:tcW w:w="1910" w:type="dxa"/>
            <w:vMerge w:val="continue"/>
            <w:shd w:val="clear" w:color="auto" w:fill="DAEEF3" w:themeFill="accent5" w:themeFillTint="33"/>
            <w:vAlign w:val="center"/>
          </w:tcPr>
          <w:p>
            <w:pPr>
              <w:widowControl/>
              <w:jc w:val="center"/>
              <w:rPr>
                <w:rFonts w:cs="Times New Roman"/>
                <w:b/>
                <w:bCs/>
                <w:color w:val="000000"/>
                <w:kern w:val="0"/>
                <w:sz w:val="21"/>
                <w:szCs w:val="21"/>
              </w:rPr>
            </w:pPr>
          </w:p>
        </w:tc>
        <w:tc>
          <w:tcPr>
            <w:tcW w:w="1843" w:type="dxa"/>
            <w:shd w:val="clear" w:color="auto" w:fill="DAEEF3" w:themeFill="accent5" w:themeFillTint="33"/>
            <w:vAlign w:val="center"/>
          </w:tcPr>
          <w:p>
            <w:pPr>
              <w:widowControl/>
              <w:jc w:val="left"/>
              <w:rPr>
                <w:rFonts w:asciiTheme="minorEastAsia" w:hAnsiTheme="minorEastAsia"/>
                <w:kern w:val="0"/>
                <w:sz w:val="21"/>
                <w:szCs w:val="21"/>
              </w:rPr>
            </w:pPr>
            <w:r>
              <w:rPr>
                <w:rFonts w:hint="eastAsia" w:asciiTheme="minorEastAsia" w:hAnsiTheme="minorEastAsia"/>
                <w:kern w:val="0"/>
                <w:sz w:val="21"/>
                <w:szCs w:val="21"/>
              </w:rPr>
              <w:t>高校支持</w:t>
            </w:r>
          </w:p>
        </w:tc>
        <w:tc>
          <w:tcPr>
            <w:tcW w:w="1843"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1</w:t>
            </w:r>
          </w:p>
        </w:tc>
        <w:tc>
          <w:tcPr>
            <w:tcW w:w="1993" w:type="dxa"/>
            <w:shd w:val="clear" w:color="auto" w:fill="DAEEF3" w:themeFill="accent5" w:themeFillTint="33"/>
            <w:vAlign w:val="center"/>
          </w:tcPr>
          <w:p>
            <w:pPr>
              <w:widowControl/>
              <w:jc w:val="center"/>
              <w:rPr>
                <w:rFonts w:ascii="Times New Roman" w:hAnsi="Times New Roman" w:cs="Times New Roman"/>
                <w:sz w:val="21"/>
              </w:rPr>
            </w:pPr>
            <w:r>
              <w:rPr>
                <w:rFonts w:ascii="Times New Roman" w:hAnsi="Times New Roman" w:cs="Times New Roman"/>
                <w:sz w:val="21"/>
              </w:rPr>
              <w:t>5.00</w:t>
            </w:r>
          </w:p>
        </w:tc>
      </w:tr>
      <w:tr>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Ex>
        <w:trPr>
          <w:trHeight w:val="230" w:hRule="atLeast"/>
          <w:jc w:val="center"/>
        </w:trPr>
        <w:tc>
          <w:tcPr>
            <w:tcW w:w="1910" w:type="dxa"/>
            <w:vMerge w:val="continue"/>
            <w:vAlign w:val="center"/>
          </w:tcPr>
          <w:p>
            <w:pPr>
              <w:widowControl/>
              <w:jc w:val="center"/>
              <w:rPr>
                <w:rFonts w:cs="Times New Roman"/>
                <w:b/>
                <w:bCs/>
                <w:color w:val="000000"/>
                <w:kern w:val="0"/>
                <w:sz w:val="21"/>
                <w:szCs w:val="21"/>
              </w:rPr>
            </w:pPr>
          </w:p>
        </w:tc>
        <w:tc>
          <w:tcPr>
            <w:tcW w:w="1843" w:type="dxa"/>
            <w:vAlign w:val="center"/>
          </w:tcPr>
          <w:p>
            <w:pPr>
              <w:widowControl/>
              <w:jc w:val="left"/>
              <w:rPr>
                <w:rFonts w:asciiTheme="minorEastAsia" w:hAnsiTheme="minorEastAsia"/>
                <w:kern w:val="0"/>
                <w:sz w:val="21"/>
                <w:szCs w:val="21"/>
              </w:rPr>
            </w:pPr>
            <w:r>
              <w:rPr>
                <w:rFonts w:hint="eastAsia" w:asciiTheme="minorEastAsia" w:hAnsiTheme="minorEastAsia"/>
                <w:kern w:val="0"/>
                <w:sz w:val="21"/>
                <w:szCs w:val="21"/>
              </w:rPr>
              <w:t>银行贷款</w:t>
            </w:r>
          </w:p>
        </w:tc>
        <w:tc>
          <w:tcPr>
            <w:tcW w:w="1843" w:type="dxa"/>
            <w:vAlign w:val="center"/>
          </w:tcPr>
          <w:p>
            <w:pPr>
              <w:widowControl/>
              <w:jc w:val="center"/>
              <w:rPr>
                <w:rFonts w:ascii="Times New Roman" w:hAnsi="Times New Roman" w:cs="Times New Roman"/>
                <w:sz w:val="21"/>
              </w:rPr>
            </w:pPr>
            <w:r>
              <w:rPr>
                <w:rFonts w:ascii="Times New Roman" w:hAnsi="Times New Roman" w:cs="Times New Roman"/>
                <w:sz w:val="21"/>
              </w:rPr>
              <w:t>2</w:t>
            </w:r>
          </w:p>
        </w:tc>
        <w:tc>
          <w:tcPr>
            <w:tcW w:w="1993" w:type="dxa"/>
            <w:vAlign w:val="center"/>
          </w:tcPr>
          <w:p>
            <w:pPr>
              <w:widowControl/>
              <w:jc w:val="center"/>
              <w:rPr>
                <w:rFonts w:ascii="Times New Roman" w:hAnsi="Times New Roman" w:cs="Times New Roman"/>
                <w:sz w:val="21"/>
              </w:rPr>
            </w:pPr>
            <w:r>
              <w:rPr>
                <w:rFonts w:ascii="Times New Roman" w:hAnsi="Times New Roman" w:cs="Times New Roman"/>
                <w:sz w:val="21"/>
              </w:rPr>
              <w:t>10.00</w:t>
            </w:r>
          </w:p>
        </w:tc>
      </w:tr>
    </w:tbl>
    <w:p/>
    <w:p/>
    <w:p>
      <w:pPr>
        <w:pStyle w:val="49"/>
        <w:spacing w:before="156" w:after="156"/>
        <w:ind w:left="120"/>
      </w:pPr>
      <w:bookmarkStart w:id="424" w:name="_Toc486857543"/>
      <w:r>
        <w:rPr>
          <w:rFonts w:hint="eastAsia"/>
        </w:rPr>
        <w:t>（六）创业</w:t>
      </w:r>
      <w:r>
        <w:t>组织</w:t>
      </w:r>
      <w:r>
        <w:rPr>
          <w:rFonts w:hint="eastAsia"/>
        </w:rPr>
        <w:t>经营时间</w:t>
      </w:r>
      <w:r>
        <w:t>及人员规模</w:t>
      </w:r>
      <w:bookmarkEnd w:id="424"/>
    </w:p>
    <w:p>
      <w:pPr>
        <w:pStyle w:val="123"/>
        <w:ind w:firstLine="480"/>
      </w:pPr>
      <w:bookmarkStart w:id="425" w:name="PO_3461"/>
      <w:bookmarkEnd w:id="425"/>
      <w:r>
        <w:rPr>
          <w:rFonts w:hint="eastAsia"/>
        </w:rPr>
        <w:t>调查显示，本校毕业生的创业组织平均经营时间为12.47月，平均人员规模为6.67人，其中经营时间为6-12个月和人员规模为3-10人的组织比例最高。</w:t>
      </w:r>
    </w:p>
    <w:p>
      <w:pPr>
        <w:jc w:val="center"/>
      </w:pPr>
      <w:bookmarkStart w:id="426" w:name="PO_3462"/>
      <w:bookmarkEnd w:id="426"/>
      <w:r>
        <w:rPr>
          <w:rFonts w:hint="eastAsia"/>
        </w:rPr>
        <w:drawing>
          <wp:inline distT="0" distB="0" distL="0" distR="0">
            <wp:extent cx="5210175" cy="2647950"/>
            <wp:effectExtent l="19050" t="0" r="9525" b="0"/>
            <wp:docPr id="41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pPr>
        <w:pStyle w:val="107"/>
        <w:spacing w:before="156" w:after="312"/>
      </w:pPr>
      <w:r>
        <w:rPr>
          <w:rFonts w:hint="eastAsia"/>
        </w:rPr>
        <w:t>创业组织经营年限分布</w:t>
      </w:r>
    </w:p>
    <w:p>
      <w:pPr>
        <w:pStyle w:val="41"/>
        <w:ind w:firstLine="480"/>
      </w:pPr>
    </w:p>
    <w:p>
      <w:pPr>
        <w:jc w:val="center"/>
      </w:pPr>
      <w:bookmarkStart w:id="427" w:name="PO_3463"/>
      <w:bookmarkEnd w:id="427"/>
      <w:r>
        <w:rPr>
          <w:rFonts w:hint="eastAsia"/>
        </w:rPr>
        <w:drawing>
          <wp:inline distT="0" distB="0" distL="0" distR="0">
            <wp:extent cx="5210175" cy="2647950"/>
            <wp:effectExtent l="19050" t="0" r="9525" b="0"/>
            <wp:docPr id="41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pPr>
        <w:pStyle w:val="107"/>
        <w:spacing w:before="156" w:after="312"/>
      </w:pPr>
      <w:r>
        <w:rPr>
          <w:rFonts w:hint="eastAsia"/>
        </w:rPr>
        <w:t>创业组织人数分布</w:t>
      </w:r>
    </w:p>
    <w:p>
      <w:pPr>
        <w:pStyle w:val="41"/>
        <w:ind w:firstLine="480"/>
      </w:pPr>
    </w:p>
    <w:p>
      <w:pPr>
        <w:pStyle w:val="49"/>
        <w:spacing w:before="156" w:after="156"/>
        <w:ind w:left="120"/>
      </w:pPr>
      <w:bookmarkStart w:id="428" w:name="_Toc486857544"/>
      <w:r>
        <w:rPr>
          <w:rFonts w:hint="eastAsia"/>
        </w:rPr>
        <w:t>（七）创业</w:t>
      </w:r>
      <w:r>
        <w:t>项目</w:t>
      </w:r>
      <w:r>
        <w:rPr>
          <w:rFonts w:hint="eastAsia"/>
        </w:rPr>
        <w:t>投资额及实现</w:t>
      </w:r>
      <w:r>
        <w:t>利润额</w:t>
      </w:r>
      <w:bookmarkEnd w:id="428"/>
    </w:p>
    <w:p>
      <w:pPr>
        <w:pStyle w:val="123"/>
        <w:ind w:firstLine="480"/>
      </w:pPr>
      <w:bookmarkStart w:id="429" w:name="PO_3471"/>
      <w:bookmarkEnd w:id="429"/>
      <w:r>
        <w:rPr>
          <w:rFonts w:hint="eastAsia"/>
        </w:rPr>
        <w:t>本校毕业生的创业项目投资金额平均为24.08万元，实现的总利润额平均为29.82万元。其中投资5-10万和创收10-50万的项目最多。</w:t>
      </w:r>
    </w:p>
    <w:p>
      <w:pPr>
        <w:jc w:val="center"/>
      </w:pPr>
      <w:bookmarkStart w:id="430" w:name="PO_3472"/>
      <w:bookmarkEnd w:id="430"/>
      <w:r>
        <w:rPr>
          <w:rFonts w:hint="eastAsia"/>
        </w:rPr>
        <w:drawing>
          <wp:inline distT="0" distB="0" distL="0" distR="0">
            <wp:extent cx="5210175" cy="2647950"/>
            <wp:effectExtent l="19050" t="0" r="9525" b="0"/>
            <wp:docPr id="41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pPr>
        <w:pStyle w:val="107"/>
        <w:spacing w:before="156" w:after="312"/>
      </w:pPr>
      <w:r>
        <w:rPr>
          <w:rFonts w:hint="eastAsia"/>
        </w:rPr>
        <w:t>创业项目投资金额分布</w:t>
      </w:r>
    </w:p>
    <w:p>
      <w:pPr>
        <w:pStyle w:val="41"/>
        <w:ind w:firstLine="480"/>
      </w:pPr>
    </w:p>
    <w:p>
      <w:pPr>
        <w:jc w:val="center"/>
      </w:pPr>
      <w:bookmarkStart w:id="431" w:name="PO_3473"/>
      <w:bookmarkEnd w:id="431"/>
      <w:r>
        <w:rPr>
          <w:rFonts w:hint="eastAsia"/>
        </w:rPr>
        <w:drawing>
          <wp:inline distT="0" distB="0" distL="0" distR="0">
            <wp:extent cx="5210175" cy="2647950"/>
            <wp:effectExtent l="19050" t="0" r="9525" b="0"/>
            <wp:docPr id="41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pPr>
        <w:pStyle w:val="107"/>
        <w:spacing w:before="156" w:after="312"/>
      </w:pPr>
      <w:r>
        <w:rPr>
          <w:rFonts w:hint="eastAsia"/>
        </w:rPr>
        <w:t>创业项目总利润额分布</w:t>
      </w:r>
    </w:p>
    <w:p>
      <w:pPr>
        <w:pStyle w:val="41"/>
        <w:ind w:firstLine="480"/>
      </w:pPr>
    </w:p>
    <w:p>
      <w:pPr>
        <w:pStyle w:val="49"/>
        <w:spacing w:before="156" w:after="156"/>
        <w:ind w:left="120"/>
      </w:pPr>
      <w:bookmarkStart w:id="432" w:name="_Toc486857545"/>
      <w:r>
        <w:rPr>
          <w:rFonts w:hint="eastAsia"/>
        </w:rPr>
        <w:t>（八）创业</w:t>
      </w:r>
      <w:r>
        <w:t>过程</w:t>
      </w:r>
      <w:r>
        <w:rPr>
          <w:rFonts w:hint="eastAsia"/>
        </w:rPr>
        <w:t>中</w:t>
      </w:r>
      <w:r>
        <w:t>遇到的</w:t>
      </w:r>
      <w:r>
        <w:rPr>
          <w:rFonts w:hint="eastAsia"/>
        </w:rPr>
        <w:t>最难</w:t>
      </w:r>
      <w:r>
        <w:t>问题</w:t>
      </w:r>
      <w:bookmarkEnd w:id="432"/>
    </w:p>
    <w:p>
      <w:pPr>
        <w:pStyle w:val="123"/>
        <w:ind w:firstLine="480"/>
      </w:pPr>
      <w:bookmarkStart w:id="433" w:name="PO_3481"/>
      <w:bookmarkEnd w:id="433"/>
      <w:r>
        <w:rPr>
          <w:rFonts w:hint="eastAsia"/>
        </w:rPr>
        <w:t>调查显示，本校毕业生在创业过程中遇到的最难以解决的三个问题依次为：寻找资金支持（40.00%）、享受创业优惠政策（20.00%）、创业团队组建及管理（15.00%）。</w:t>
      </w:r>
    </w:p>
    <w:p>
      <w:pPr>
        <w:jc w:val="center"/>
      </w:pPr>
      <w:bookmarkStart w:id="434" w:name="PO_3482"/>
      <w:bookmarkEnd w:id="434"/>
      <w:r>
        <w:drawing>
          <wp:inline distT="0" distB="0" distL="0" distR="0">
            <wp:extent cx="5274310" cy="3076575"/>
            <wp:effectExtent l="19050" t="0" r="21590" b="0"/>
            <wp:docPr id="420" name="图表 4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pPr>
        <w:pStyle w:val="107"/>
        <w:spacing w:before="156" w:after="312"/>
      </w:pPr>
      <w:r>
        <w:rPr>
          <w:rFonts w:hint="eastAsia"/>
        </w:rPr>
        <w:t>毕业生创业遇到的最难问题分布</w:t>
      </w:r>
    </w:p>
    <w:p>
      <w:pPr>
        <w:pStyle w:val="41"/>
        <w:ind w:firstLine="480"/>
      </w:pPr>
    </w:p>
    <w:p>
      <w:pPr>
        <w:widowControl/>
        <w:jc w:val="left"/>
      </w:pPr>
    </w:p>
    <w:sectPr>
      <w:pgSz w:w="11906" w:h="16838"/>
      <w:pgMar w:top="1418" w:right="1134" w:bottom="1418" w:left="1134" w:header="851" w:footer="857" w:gutter="0"/>
      <w:pgBorders w:offsetFrom="page">
        <w:bottom w:val="single" w:color="auto" w:sz="4" w:space="24"/>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MingLiU">
    <w:altName w:val="PMingLiU-ExtB"/>
    <w:panose1 w:val="02020509000000000000"/>
    <w:charset w:val="88"/>
    <w:family w:val="modern"/>
    <w:pitch w:val="default"/>
    <w:sig w:usb0="00000000" w:usb1="00000000" w:usb2="00000010" w:usb3="00000000" w:csb0="00100000"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2FF" w:usb1="420024FF" w:usb2="00000000" w:usb3="00000000" w:csb0="2000019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EFF" w:usb1="C0007843" w:usb2="00000009" w:usb3="00000000" w:csb0="400001FF" w:csb1="FFFF0000"/>
  </w:font>
  <w:font w:name="PMingLiU-ExtB">
    <w:panose1 w:val="02020500000000000000"/>
    <w:charset w:val="88"/>
    <w:family w:val="auto"/>
    <w:pitch w:val="default"/>
    <w:sig w:usb0="8000002F" w:usb1="02000008" w:usb2="00000000" w:usb3="00000000" w:csb0="00100001" w:csb1="00000000"/>
  </w:font>
  <w:font w:name="楷体">
    <w:panose1 w:val="02010609060101010101"/>
    <w:charset w:val="86"/>
    <w:family w:val="auto"/>
    <w:pitch w:val="default"/>
    <w:sig w:usb0="800002BF" w:usb1="38CF7CFA" w:usb2="00000016" w:usb3="00000000" w:csb0="00040001" w:csb1="00000000"/>
  </w:font>
  <w:font w:name="方正大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r>
      <w:rPr>
        <w:rFonts w:hint="eastAsia"/>
      </w:rPr>
      <w:t>-</w:t>
    </w:r>
    <w:r>
      <w:fldChar w:fldCharType="begin"/>
    </w:r>
    <w:r>
      <w:instrText xml:space="preserve"> PAGE   \* MERGEFORMAT </w:instrText>
    </w:r>
    <w:r>
      <w:fldChar w:fldCharType="separate"/>
    </w:r>
    <w:r>
      <w:rPr>
        <w:lang w:val="zh-CN"/>
      </w:rPr>
      <w:t>i</w:t>
    </w:r>
    <w:r>
      <w:rPr>
        <w:lang w:val="zh-CN"/>
      </w:rPr>
      <w:fldChar w:fldCharType="end"/>
    </w:r>
    <w:r>
      <w:rPr>
        <w:rFonts w:hint="eastAsia"/>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rPr>
      <w:t>-</w:t>
    </w:r>
    <w:r>
      <w:fldChar w:fldCharType="begin"/>
    </w:r>
    <w:r>
      <w:instrText xml:space="preserve"> PAGE   \* MERGEFORMAT </w:instrText>
    </w:r>
    <w:r>
      <w:fldChar w:fldCharType="separate"/>
    </w:r>
    <w:r>
      <w:rPr>
        <w:lang w:val="zh-CN"/>
      </w:rPr>
      <w:t>ii</w:t>
    </w:r>
    <w:r>
      <w:rPr>
        <w:lang w:val="zh-CN"/>
      </w:rPr>
      <w:fldChar w:fldCharType="end"/>
    </w:r>
    <w:r>
      <w:rPr>
        <w:rFonts w:hint="eastAsia"/>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4</w:t>
    </w:r>
    <w:r>
      <w:rPr>
        <w:rFonts w:ascii="Times New Roman" w:hAnsi="Times New Roman" w:cs="Times New Roman"/>
        <w:sz w:val="21"/>
        <w:szCs w:val="21"/>
      </w:rPr>
      <w:fldChar w:fldCharType="end"/>
    </w:r>
    <w:r>
      <w:rPr>
        <w:rFonts w:ascii="Times New Roman" w:hAnsi="Times New Roman" w:cs="Times New Roman"/>
        <w:sz w:val="21"/>
        <w:szCs w:val="21"/>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43490764"/>
      <w:docPartObj>
        <w:docPartGallery w:val="AutoText"/>
      </w:docPartObj>
    </w:sdtPr>
    <w:sdtContent>
      <w:p>
        <w:pPr>
          <w:pStyle w:val="16"/>
        </w:pPr>
        <w:r>
          <w:rPr>
            <w:rFonts w:ascii="Times New Roman" w:hAnsi="Times New Roman" w:cs="Times New Roman"/>
            <w:sz w:val="21"/>
            <w:szCs w:val="21"/>
          </w:rPr>
          <w:t>-</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4</w:t>
        </w:r>
        <w:r>
          <w:rPr>
            <w:rFonts w:ascii="Times New Roman" w:hAnsi="Times New Roman" w:cs="Times New Roman"/>
            <w:sz w:val="21"/>
            <w:szCs w:val="21"/>
          </w:rPr>
          <w:fldChar w:fldCharType="end"/>
        </w:r>
        <w:r>
          <w:rPr>
            <w:rFonts w:ascii="Times New Roman" w:hAnsi="Times New Roman" w:cs="Times New Roman"/>
            <w:sz w:val="21"/>
            <w:szCs w:val="21"/>
          </w:rPr>
          <w:t>-</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18</w:t>
    </w:r>
    <w:r>
      <w:rPr>
        <w:rFonts w:ascii="Times New Roman" w:hAnsi="Times New Roman" w:cs="Times New Roman"/>
        <w:sz w:val="21"/>
        <w:szCs w:val="21"/>
      </w:rPr>
      <w:fldChar w:fldCharType="end"/>
    </w:r>
    <w:r>
      <w:rPr>
        <w:rFonts w:ascii="Times New Roman" w:hAnsi="Times New Roman" w:cs="Times New Roman"/>
        <w:sz w:val="21"/>
        <w:szCs w:val="21"/>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084930"/>
      <w:docPartObj>
        <w:docPartGallery w:val="AutoText"/>
      </w:docPartObj>
    </w:sdtPr>
    <w:sdtContent>
      <w:p>
        <w:pPr>
          <w:pStyle w:val="16"/>
          <w:jc w:val="center"/>
        </w:pPr>
        <w:r>
          <w:rPr>
            <w:rFonts w:ascii="Times New Roman" w:hAnsi="Times New Roman" w:cs="Times New Roman"/>
            <w:sz w:val="21"/>
            <w:szCs w:val="21"/>
          </w:rPr>
          <w:t>-</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78</w:t>
        </w:r>
        <w:r>
          <w:rPr>
            <w:rFonts w:ascii="Times New Roman" w:hAnsi="Times New Roman" w:cs="Times New Roman"/>
            <w:sz w:val="21"/>
            <w:szCs w:val="21"/>
          </w:rPr>
          <w:fldChar w:fldCharType="end"/>
        </w:r>
        <w:r>
          <w:rPr>
            <w:rFonts w:ascii="Times New Roman" w:hAnsi="Times New Roman" w:cs="Times New Roman"/>
            <w:sz w:val="21"/>
            <w:szCs w:val="21"/>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21"/>
      </w:pPr>
      <w:r>
        <w:rPr>
          <w:rStyle w:val="31"/>
        </w:rPr>
        <w:footnoteRef/>
      </w:r>
      <w:r>
        <w:rPr>
          <w:rFonts w:hint="eastAsia"/>
        </w:rPr>
        <w:t>东部地区：天津、上海、辽宁、河北、山东、浙江、江苏、广东、福建和海南10省市以及港澳台地区；中部地区：吉林、黑龙江、山西、湖南、湖北、河南、江西和安徽8省；西部地区：重庆、四川、陕西、宁夏、甘肃、内蒙、青海、新疆、西藏、贵州、云南和广西12省市。</w:t>
      </w:r>
    </w:p>
  </w:footnote>
  <w:footnote w:id="1">
    <w:p>
      <w:pPr>
        <w:pStyle w:val="21"/>
      </w:pPr>
      <w:r>
        <w:rPr>
          <w:rStyle w:val="31"/>
        </w:rPr>
        <w:footnoteRef/>
      </w:r>
      <w:r>
        <w:rPr>
          <w:rFonts w:hint="eastAsia"/>
        </w:rPr>
        <w:t>根据国务院发展研究中心在“十一五”期间对全国经济区的划分，将全国划分为：东北经济区：辽宁、吉林和黑龙江3省；北部沿海经济区：北京、天津、河北和山东4省市；东部沿海经济区：上海、江苏和浙江3省市；南部沿海经济区：福建、广东和海南3省以及港澳台地区；黄河中游经济区：陕西、山西、河南和内蒙古4省；长江中游经济区：湖北、湖南、江西和安徽4省；西南经济区：云南、贵州、四川、重庆和广西4省市；西北经济区：甘肃、青海、宁夏、西藏和新疆4省。为了便于研究，本报告所指北部沿海经济区仅包括天津、河北和山东。北京单独进行分析。</w:t>
      </w:r>
    </w:p>
  </w:footnote>
  <w:footnote w:id="2">
    <w:p>
      <w:pPr>
        <w:pStyle w:val="21"/>
      </w:pPr>
      <w:r>
        <w:rPr>
          <w:rStyle w:val="31"/>
        </w:rPr>
        <w:footnoteRef/>
      </w:r>
      <w:r>
        <w:rPr>
          <w:rFonts w:hint="eastAsia"/>
        </w:rPr>
        <w:t>本报告中的“显著”均指在95%的置信水平下显著。</w:t>
      </w:r>
    </w:p>
  </w:footnote>
  <w:footnote w:id="3">
    <w:p>
      <w:pPr>
        <w:pStyle w:val="21"/>
      </w:pPr>
      <w:r>
        <w:rPr>
          <w:rStyle w:val="31"/>
        </w:rPr>
        <w:footnoteRef/>
      </w:r>
      <w:r>
        <w:t xml:space="preserve"> </w:t>
      </w:r>
      <w:r>
        <w:rPr>
          <w:rFonts w:hint="eastAsia"/>
        </w:rPr>
        <w:t>满意度得分：根据五分量表得分折算而成。1=很不满意，2=不满意，3=不好说，4=满意，5=很满意。</w:t>
      </w:r>
    </w:p>
  </w:footnote>
  <w:footnote w:id="4">
    <w:p>
      <w:pPr>
        <w:pStyle w:val="21"/>
      </w:pPr>
      <w:r>
        <w:rPr>
          <w:rStyle w:val="31"/>
        </w:rPr>
        <w:footnoteRef/>
      </w:r>
      <w:r>
        <w:t xml:space="preserve"> </w:t>
      </w:r>
      <w:r>
        <w:rPr>
          <w:rFonts w:hint="eastAsia"/>
        </w:rPr>
        <w:t>本报告第三章调查分析中关于就业结果的数据，包括就业地区、行业、单位类型等，数据结果与第二章派遣数据由于统计渠道、时间等不同，两者结果会存在差异。调查结果对就业数据作重要参考。</w:t>
      </w:r>
    </w:p>
  </w:footnote>
  <w:footnote w:id="5">
    <w:p>
      <w:pPr>
        <w:pStyle w:val="21"/>
      </w:pPr>
      <w:r>
        <w:rPr>
          <w:rStyle w:val="31"/>
        </w:rPr>
        <w:footnoteRef/>
      </w:r>
      <w:r>
        <w:t xml:space="preserve"> </w:t>
      </w:r>
      <w:r>
        <w:rPr>
          <w:rFonts w:hint="eastAsia"/>
        </w:rPr>
        <w:t>本题为多选题。统计通过学校资源求职成功的比例，校园渠道包括：学校组织的招聘会、学校发布的招聘信息、院系发布的招聘信息、老师推荐、校友资源和其他校园渠道，在统计中学生选择以上任意一项即代表其通过校园渠道求职；本道多选题计算个案百分比（选择该项的学生人数/所有受访学生人数）作为有效百分比（去年报告使用响应百分比之和作为有效百分比，由于计算方法不一致，两年数据会略有差异）。研究生分析部分同理。</w:t>
      </w:r>
    </w:p>
  </w:footnote>
  <w:footnote w:id="6">
    <w:p>
      <w:pPr>
        <w:pStyle w:val="21"/>
      </w:pPr>
      <w:r>
        <w:rPr>
          <w:rStyle w:val="31"/>
        </w:rPr>
        <w:footnoteRef/>
      </w:r>
      <w:r>
        <w:rPr>
          <w:rFonts w:hint="eastAsia" w:ascii="宋体" w:hAnsi="宋体"/>
        </w:rPr>
        <w:t>农、林、牧、渔业属于</w:t>
      </w:r>
      <w:r>
        <w:rPr>
          <w:rFonts w:ascii="宋体" w:hAnsi="宋体"/>
        </w:rPr>
        <w:t>第一产业，</w:t>
      </w:r>
      <w:r>
        <w:rPr>
          <w:rFonts w:hint="eastAsia" w:ascii="宋体" w:hAnsi="宋体"/>
        </w:rPr>
        <w:t>制造业、采矿/建筑/水电气业属于</w:t>
      </w:r>
      <w:r>
        <w:rPr>
          <w:rFonts w:ascii="宋体" w:hAnsi="宋体"/>
        </w:rPr>
        <w:t>第</w:t>
      </w:r>
      <w:r>
        <w:rPr>
          <w:rFonts w:hint="eastAsia" w:ascii="宋体" w:hAnsi="宋体"/>
        </w:rPr>
        <w:t>二</w:t>
      </w:r>
      <w:r>
        <w:rPr>
          <w:rFonts w:ascii="宋体" w:hAnsi="宋体"/>
        </w:rPr>
        <w:t>产业</w:t>
      </w:r>
      <w:r>
        <w:rPr>
          <w:rFonts w:hint="eastAsia" w:ascii="宋体" w:hAnsi="宋体"/>
        </w:rPr>
        <w:t>，商业服务业、教育及科研行业、信息产业等剩余其他行业均</w:t>
      </w:r>
      <w:r>
        <w:rPr>
          <w:rFonts w:ascii="宋体" w:hAnsi="宋体"/>
        </w:rPr>
        <w:t>属于第三产业</w:t>
      </w:r>
      <w:r>
        <w:rPr>
          <w:rFonts w:hint="eastAsia" w:ascii="宋体" w:hAnsi="宋体"/>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r>
      <w:rPr>
        <w:rFonts w:hint="eastAsia"/>
      </w:rPr>
      <w:drawing>
        <wp:inline distT="0" distB="0" distL="0" distR="0">
          <wp:extent cx="6120130" cy="274320"/>
          <wp:effectExtent l="19050" t="0" r="0" b="0"/>
          <wp:docPr id="30" name="图片 29" descr="中央戏剧学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中央戏剧学院.png"/>
                  <pic:cNvPicPr>
                    <a:picLocks noChangeAspect="1"/>
                  </pic:cNvPicPr>
                </pic:nvPicPr>
                <pic:blipFill>
                  <a:blip r:embed="rId1"/>
                  <a:stretch>
                    <a:fillRect/>
                  </a:stretch>
                </pic:blipFill>
                <pic:spPr>
                  <a:xfrm>
                    <a:off x="0" y="0"/>
                    <a:ext cx="6120130" cy="27432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301354"/>
    <w:multiLevelType w:val="multilevel"/>
    <w:tmpl w:val="36301354"/>
    <w:lvl w:ilvl="0" w:tentative="0">
      <w:start w:val="1"/>
      <w:numFmt w:val="decimal"/>
      <w:pStyle w:val="55"/>
      <w:lvlText w:val="表%1 "/>
      <w:lvlJc w:val="left"/>
      <w:pPr>
        <w:ind w:left="5524" w:hanging="420"/>
      </w:pPr>
      <w:rPr>
        <w:rFonts w:hint="default" w:ascii="Times New Roman" w:hAnsi="Times New Roman" w:eastAsia="宋体"/>
        <w:b w:val="0"/>
        <w:i w:val="0"/>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2ED5E3A"/>
    <w:multiLevelType w:val="multilevel"/>
    <w:tmpl w:val="62ED5E3A"/>
    <w:lvl w:ilvl="0" w:tentative="0">
      <w:start w:val="1"/>
      <w:numFmt w:val="decimal"/>
      <w:pStyle w:val="107"/>
      <w:lvlText w:val="图%1"/>
      <w:lvlJc w:val="left"/>
      <w:pPr>
        <w:ind w:left="420" w:hanging="420"/>
      </w:pPr>
      <w:rPr>
        <w:rFonts w:hint="default" w:ascii="Times New Roman" w:hAnsi="Times New Roman" w:eastAsia="宋体"/>
        <w:color w:val="31849B" w:themeColor="accent5" w:themeShade="BF"/>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bordersDoNotSurroundHeader w:val="1"/>
  <w:bordersDoNotSurroundFooter w:val="1"/>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28E"/>
    <w:rsid w:val="00000205"/>
    <w:rsid w:val="000003EF"/>
    <w:rsid w:val="00000A8A"/>
    <w:rsid w:val="0000216B"/>
    <w:rsid w:val="00002BE1"/>
    <w:rsid w:val="000046A7"/>
    <w:rsid w:val="00005A1B"/>
    <w:rsid w:val="00005CA4"/>
    <w:rsid w:val="00005E67"/>
    <w:rsid w:val="000100E8"/>
    <w:rsid w:val="00010B0E"/>
    <w:rsid w:val="00012AC7"/>
    <w:rsid w:val="00012BA0"/>
    <w:rsid w:val="000136E8"/>
    <w:rsid w:val="00014EC5"/>
    <w:rsid w:val="000152DD"/>
    <w:rsid w:val="0001725D"/>
    <w:rsid w:val="000173C5"/>
    <w:rsid w:val="00017B6F"/>
    <w:rsid w:val="0002008B"/>
    <w:rsid w:val="000204B2"/>
    <w:rsid w:val="00021908"/>
    <w:rsid w:val="00022099"/>
    <w:rsid w:val="00023340"/>
    <w:rsid w:val="0002376B"/>
    <w:rsid w:val="00024B41"/>
    <w:rsid w:val="00025524"/>
    <w:rsid w:val="00025B60"/>
    <w:rsid w:val="000264AE"/>
    <w:rsid w:val="00026E6D"/>
    <w:rsid w:val="000271C0"/>
    <w:rsid w:val="000326F7"/>
    <w:rsid w:val="000360E3"/>
    <w:rsid w:val="000372D0"/>
    <w:rsid w:val="00037359"/>
    <w:rsid w:val="000377D0"/>
    <w:rsid w:val="0004267F"/>
    <w:rsid w:val="0004435E"/>
    <w:rsid w:val="0004458D"/>
    <w:rsid w:val="00044D5A"/>
    <w:rsid w:val="000450AE"/>
    <w:rsid w:val="0004566F"/>
    <w:rsid w:val="00045D0A"/>
    <w:rsid w:val="00045F5D"/>
    <w:rsid w:val="000461AE"/>
    <w:rsid w:val="00053DB6"/>
    <w:rsid w:val="0005428E"/>
    <w:rsid w:val="000545F6"/>
    <w:rsid w:val="00054F22"/>
    <w:rsid w:val="000556C3"/>
    <w:rsid w:val="000609F6"/>
    <w:rsid w:val="00061C19"/>
    <w:rsid w:val="00061C5D"/>
    <w:rsid w:val="00062119"/>
    <w:rsid w:val="0006270F"/>
    <w:rsid w:val="0006273E"/>
    <w:rsid w:val="00063041"/>
    <w:rsid w:val="000633A2"/>
    <w:rsid w:val="00063C0B"/>
    <w:rsid w:val="000641B9"/>
    <w:rsid w:val="000655D9"/>
    <w:rsid w:val="00066466"/>
    <w:rsid w:val="00070531"/>
    <w:rsid w:val="000711A4"/>
    <w:rsid w:val="0007152D"/>
    <w:rsid w:val="00071C94"/>
    <w:rsid w:val="0007211B"/>
    <w:rsid w:val="000727AD"/>
    <w:rsid w:val="000727CE"/>
    <w:rsid w:val="0007289F"/>
    <w:rsid w:val="00073A68"/>
    <w:rsid w:val="00073E62"/>
    <w:rsid w:val="00074E8A"/>
    <w:rsid w:val="00074F4E"/>
    <w:rsid w:val="00075686"/>
    <w:rsid w:val="000761E5"/>
    <w:rsid w:val="0007698C"/>
    <w:rsid w:val="000779B9"/>
    <w:rsid w:val="00077B46"/>
    <w:rsid w:val="00080FDB"/>
    <w:rsid w:val="000810C1"/>
    <w:rsid w:val="000810C4"/>
    <w:rsid w:val="0008127B"/>
    <w:rsid w:val="00081A89"/>
    <w:rsid w:val="00081C6B"/>
    <w:rsid w:val="00082860"/>
    <w:rsid w:val="00083AEE"/>
    <w:rsid w:val="00083E5C"/>
    <w:rsid w:val="00083E5E"/>
    <w:rsid w:val="0008431D"/>
    <w:rsid w:val="0008596C"/>
    <w:rsid w:val="00086388"/>
    <w:rsid w:val="000864C5"/>
    <w:rsid w:val="00086704"/>
    <w:rsid w:val="000877DF"/>
    <w:rsid w:val="000901AE"/>
    <w:rsid w:val="00090CC0"/>
    <w:rsid w:val="000913F9"/>
    <w:rsid w:val="00091EB7"/>
    <w:rsid w:val="000936BC"/>
    <w:rsid w:val="0009424D"/>
    <w:rsid w:val="00094330"/>
    <w:rsid w:val="00094AB8"/>
    <w:rsid w:val="00094B26"/>
    <w:rsid w:val="00095399"/>
    <w:rsid w:val="00095A3C"/>
    <w:rsid w:val="00095F3A"/>
    <w:rsid w:val="000972BF"/>
    <w:rsid w:val="000A0BB9"/>
    <w:rsid w:val="000A1799"/>
    <w:rsid w:val="000A3D21"/>
    <w:rsid w:val="000A3D44"/>
    <w:rsid w:val="000A4660"/>
    <w:rsid w:val="000A6ACB"/>
    <w:rsid w:val="000A6DD3"/>
    <w:rsid w:val="000A7132"/>
    <w:rsid w:val="000A73C3"/>
    <w:rsid w:val="000A7C57"/>
    <w:rsid w:val="000B0078"/>
    <w:rsid w:val="000B103F"/>
    <w:rsid w:val="000B3917"/>
    <w:rsid w:val="000B6AE6"/>
    <w:rsid w:val="000B6B08"/>
    <w:rsid w:val="000B7AA4"/>
    <w:rsid w:val="000C0008"/>
    <w:rsid w:val="000C0609"/>
    <w:rsid w:val="000C07F9"/>
    <w:rsid w:val="000C11A3"/>
    <w:rsid w:val="000C1476"/>
    <w:rsid w:val="000C195B"/>
    <w:rsid w:val="000C20A8"/>
    <w:rsid w:val="000C2C1C"/>
    <w:rsid w:val="000C3224"/>
    <w:rsid w:val="000C52A3"/>
    <w:rsid w:val="000D0A1B"/>
    <w:rsid w:val="000D0D75"/>
    <w:rsid w:val="000D3149"/>
    <w:rsid w:val="000D3E1F"/>
    <w:rsid w:val="000D5647"/>
    <w:rsid w:val="000D57BA"/>
    <w:rsid w:val="000D5E13"/>
    <w:rsid w:val="000D6021"/>
    <w:rsid w:val="000D6129"/>
    <w:rsid w:val="000D615C"/>
    <w:rsid w:val="000D6DE4"/>
    <w:rsid w:val="000D7B73"/>
    <w:rsid w:val="000E02B8"/>
    <w:rsid w:val="000E05BE"/>
    <w:rsid w:val="000E0704"/>
    <w:rsid w:val="000E0A1C"/>
    <w:rsid w:val="000E213F"/>
    <w:rsid w:val="000E266A"/>
    <w:rsid w:val="000E2E3A"/>
    <w:rsid w:val="000E3095"/>
    <w:rsid w:val="000E30EC"/>
    <w:rsid w:val="000E3C60"/>
    <w:rsid w:val="000E4168"/>
    <w:rsid w:val="000E4C50"/>
    <w:rsid w:val="000E4FBC"/>
    <w:rsid w:val="000F1505"/>
    <w:rsid w:val="000F1E2E"/>
    <w:rsid w:val="000F2DD2"/>
    <w:rsid w:val="000F3188"/>
    <w:rsid w:val="000F3389"/>
    <w:rsid w:val="000F3D39"/>
    <w:rsid w:val="000F3E81"/>
    <w:rsid w:val="000F4ABB"/>
    <w:rsid w:val="000F4BF1"/>
    <w:rsid w:val="000F6A09"/>
    <w:rsid w:val="000F6DD1"/>
    <w:rsid w:val="00100921"/>
    <w:rsid w:val="00100D7B"/>
    <w:rsid w:val="00101DDA"/>
    <w:rsid w:val="00102562"/>
    <w:rsid w:val="001027BC"/>
    <w:rsid w:val="00103319"/>
    <w:rsid w:val="00103416"/>
    <w:rsid w:val="00103CFD"/>
    <w:rsid w:val="0010546E"/>
    <w:rsid w:val="00106DD8"/>
    <w:rsid w:val="00107E24"/>
    <w:rsid w:val="0011013C"/>
    <w:rsid w:val="00111022"/>
    <w:rsid w:val="00111927"/>
    <w:rsid w:val="0011256E"/>
    <w:rsid w:val="00112602"/>
    <w:rsid w:val="00112DD9"/>
    <w:rsid w:val="00114EDE"/>
    <w:rsid w:val="00115FA9"/>
    <w:rsid w:val="00116C38"/>
    <w:rsid w:val="00116DC8"/>
    <w:rsid w:val="00117621"/>
    <w:rsid w:val="00121898"/>
    <w:rsid w:val="00122E07"/>
    <w:rsid w:val="00123161"/>
    <w:rsid w:val="0012353A"/>
    <w:rsid w:val="00123D6F"/>
    <w:rsid w:val="00123E92"/>
    <w:rsid w:val="001249F6"/>
    <w:rsid w:val="00124FFD"/>
    <w:rsid w:val="00125523"/>
    <w:rsid w:val="0012562A"/>
    <w:rsid w:val="00125719"/>
    <w:rsid w:val="0012597D"/>
    <w:rsid w:val="00126ADE"/>
    <w:rsid w:val="00126B1C"/>
    <w:rsid w:val="00130329"/>
    <w:rsid w:val="00131282"/>
    <w:rsid w:val="0013280C"/>
    <w:rsid w:val="00133207"/>
    <w:rsid w:val="0013320D"/>
    <w:rsid w:val="00136115"/>
    <w:rsid w:val="00136CD6"/>
    <w:rsid w:val="00137BDB"/>
    <w:rsid w:val="001407BC"/>
    <w:rsid w:val="001422D5"/>
    <w:rsid w:val="00142798"/>
    <w:rsid w:val="00143623"/>
    <w:rsid w:val="0014414A"/>
    <w:rsid w:val="001502EF"/>
    <w:rsid w:val="001505D8"/>
    <w:rsid w:val="00150EBC"/>
    <w:rsid w:val="00152116"/>
    <w:rsid w:val="00156EE0"/>
    <w:rsid w:val="00160A7D"/>
    <w:rsid w:val="0016185E"/>
    <w:rsid w:val="00161A32"/>
    <w:rsid w:val="00163017"/>
    <w:rsid w:val="00164B51"/>
    <w:rsid w:val="00164E92"/>
    <w:rsid w:val="00164EFE"/>
    <w:rsid w:val="001671CC"/>
    <w:rsid w:val="00167325"/>
    <w:rsid w:val="00171719"/>
    <w:rsid w:val="00171B67"/>
    <w:rsid w:val="00171CC0"/>
    <w:rsid w:val="0017213A"/>
    <w:rsid w:val="00173E77"/>
    <w:rsid w:val="00175CB9"/>
    <w:rsid w:val="00176867"/>
    <w:rsid w:val="00177D31"/>
    <w:rsid w:val="00184AE2"/>
    <w:rsid w:val="00184F60"/>
    <w:rsid w:val="00190A2C"/>
    <w:rsid w:val="0019152F"/>
    <w:rsid w:val="0019190C"/>
    <w:rsid w:val="001919C6"/>
    <w:rsid w:val="00192B76"/>
    <w:rsid w:val="00192E03"/>
    <w:rsid w:val="00193B72"/>
    <w:rsid w:val="00195119"/>
    <w:rsid w:val="00195884"/>
    <w:rsid w:val="0019625E"/>
    <w:rsid w:val="00196C02"/>
    <w:rsid w:val="00197348"/>
    <w:rsid w:val="001A05A6"/>
    <w:rsid w:val="001A1722"/>
    <w:rsid w:val="001A19EC"/>
    <w:rsid w:val="001A2C1E"/>
    <w:rsid w:val="001A2C86"/>
    <w:rsid w:val="001A4BCA"/>
    <w:rsid w:val="001A66F0"/>
    <w:rsid w:val="001A6C5C"/>
    <w:rsid w:val="001B051D"/>
    <w:rsid w:val="001B0E3B"/>
    <w:rsid w:val="001B281E"/>
    <w:rsid w:val="001B64CB"/>
    <w:rsid w:val="001B6543"/>
    <w:rsid w:val="001B71FC"/>
    <w:rsid w:val="001C170A"/>
    <w:rsid w:val="001C184A"/>
    <w:rsid w:val="001C1FE1"/>
    <w:rsid w:val="001C2A28"/>
    <w:rsid w:val="001C2FF2"/>
    <w:rsid w:val="001C39ED"/>
    <w:rsid w:val="001C3FC2"/>
    <w:rsid w:val="001C40A2"/>
    <w:rsid w:val="001C4413"/>
    <w:rsid w:val="001C44A5"/>
    <w:rsid w:val="001C56FC"/>
    <w:rsid w:val="001C5A41"/>
    <w:rsid w:val="001C5FB1"/>
    <w:rsid w:val="001C6265"/>
    <w:rsid w:val="001C693C"/>
    <w:rsid w:val="001D04FD"/>
    <w:rsid w:val="001D105A"/>
    <w:rsid w:val="001D14C7"/>
    <w:rsid w:val="001D199D"/>
    <w:rsid w:val="001D24C1"/>
    <w:rsid w:val="001D3A92"/>
    <w:rsid w:val="001D3C2D"/>
    <w:rsid w:val="001D46AD"/>
    <w:rsid w:val="001D53CD"/>
    <w:rsid w:val="001D5912"/>
    <w:rsid w:val="001D6CE1"/>
    <w:rsid w:val="001D7DB2"/>
    <w:rsid w:val="001D7FB9"/>
    <w:rsid w:val="001E119D"/>
    <w:rsid w:val="001E1492"/>
    <w:rsid w:val="001E2C0C"/>
    <w:rsid w:val="001E6C8F"/>
    <w:rsid w:val="001E7DDC"/>
    <w:rsid w:val="001F56B4"/>
    <w:rsid w:val="001F5BC6"/>
    <w:rsid w:val="00200CFE"/>
    <w:rsid w:val="00201570"/>
    <w:rsid w:val="00202DE8"/>
    <w:rsid w:val="0020435A"/>
    <w:rsid w:val="00204C55"/>
    <w:rsid w:val="00204DB8"/>
    <w:rsid w:val="00205B98"/>
    <w:rsid w:val="002061EF"/>
    <w:rsid w:val="00206A7C"/>
    <w:rsid w:val="00206F14"/>
    <w:rsid w:val="00207063"/>
    <w:rsid w:val="00207114"/>
    <w:rsid w:val="00210166"/>
    <w:rsid w:val="0021023C"/>
    <w:rsid w:val="002105B6"/>
    <w:rsid w:val="00210ED2"/>
    <w:rsid w:val="002113A6"/>
    <w:rsid w:val="0021279F"/>
    <w:rsid w:val="002144D2"/>
    <w:rsid w:val="00215EE4"/>
    <w:rsid w:val="00216BF8"/>
    <w:rsid w:val="002209CC"/>
    <w:rsid w:val="00224371"/>
    <w:rsid w:val="002245DB"/>
    <w:rsid w:val="002249CF"/>
    <w:rsid w:val="0022554C"/>
    <w:rsid w:val="00227477"/>
    <w:rsid w:val="0023129A"/>
    <w:rsid w:val="002314B7"/>
    <w:rsid w:val="00231731"/>
    <w:rsid w:val="002328CE"/>
    <w:rsid w:val="00233FA2"/>
    <w:rsid w:val="0023423D"/>
    <w:rsid w:val="00235083"/>
    <w:rsid w:val="0023529F"/>
    <w:rsid w:val="0023593B"/>
    <w:rsid w:val="0023759C"/>
    <w:rsid w:val="00237B2E"/>
    <w:rsid w:val="00240177"/>
    <w:rsid w:val="0024124D"/>
    <w:rsid w:val="0024148D"/>
    <w:rsid w:val="002431FF"/>
    <w:rsid w:val="00245AEF"/>
    <w:rsid w:val="00246343"/>
    <w:rsid w:val="00246E31"/>
    <w:rsid w:val="002500B3"/>
    <w:rsid w:val="002506BB"/>
    <w:rsid w:val="002514D5"/>
    <w:rsid w:val="00252384"/>
    <w:rsid w:val="0025262D"/>
    <w:rsid w:val="00252C2E"/>
    <w:rsid w:val="00253F62"/>
    <w:rsid w:val="00254498"/>
    <w:rsid w:val="00255982"/>
    <w:rsid w:val="0025782C"/>
    <w:rsid w:val="0026209D"/>
    <w:rsid w:val="00262FE7"/>
    <w:rsid w:val="00264608"/>
    <w:rsid w:val="00264A71"/>
    <w:rsid w:val="00265303"/>
    <w:rsid w:val="0026580F"/>
    <w:rsid w:val="00270125"/>
    <w:rsid w:val="002705DB"/>
    <w:rsid w:val="00270BBB"/>
    <w:rsid w:val="002725B1"/>
    <w:rsid w:val="0027260E"/>
    <w:rsid w:val="00272EDC"/>
    <w:rsid w:val="00274E19"/>
    <w:rsid w:val="0027510F"/>
    <w:rsid w:val="00275448"/>
    <w:rsid w:val="002761B3"/>
    <w:rsid w:val="00276DFA"/>
    <w:rsid w:val="00277093"/>
    <w:rsid w:val="00277145"/>
    <w:rsid w:val="002772CC"/>
    <w:rsid w:val="0027750A"/>
    <w:rsid w:val="00277EB2"/>
    <w:rsid w:val="00280A4B"/>
    <w:rsid w:val="00280DF5"/>
    <w:rsid w:val="002814ED"/>
    <w:rsid w:val="00281FF5"/>
    <w:rsid w:val="00283008"/>
    <w:rsid w:val="0028361C"/>
    <w:rsid w:val="0028364B"/>
    <w:rsid w:val="00283704"/>
    <w:rsid w:val="0028587B"/>
    <w:rsid w:val="002865A2"/>
    <w:rsid w:val="0028712A"/>
    <w:rsid w:val="00291480"/>
    <w:rsid w:val="00291583"/>
    <w:rsid w:val="00293603"/>
    <w:rsid w:val="00294A00"/>
    <w:rsid w:val="00294F39"/>
    <w:rsid w:val="0029506D"/>
    <w:rsid w:val="002968F8"/>
    <w:rsid w:val="002A0A5A"/>
    <w:rsid w:val="002A1428"/>
    <w:rsid w:val="002A3AA5"/>
    <w:rsid w:val="002A3C7F"/>
    <w:rsid w:val="002A5892"/>
    <w:rsid w:val="002A72E7"/>
    <w:rsid w:val="002A7E73"/>
    <w:rsid w:val="002B079C"/>
    <w:rsid w:val="002B0D06"/>
    <w:rsid w:val="002B0D36"/>
    <w:rsid w:val="002B22E9"/>
    <w:rsid w:val="002B24E6"/>
    <w:rsid w:val="002B253F"/>
    <w:rsid w:val="002B27AC"/>
    <w:rsid w:val="002B29D5"/>
    <w:rsid w:val="002B2E91"/>
    <w:rsid w:val="002B3CDF"/>
    <w:rsid w:val="002B4CB9"/>
    <w:rsid w:val="002B5552"/>
    <w:rsid w:val="002B59E4"/>
    <w:rsid w:val="002B5F53"/>
    <w:rsid w:val="002B71BC"/>
    <w:rsid w:val="002C0421"/>
    <w:rsid w:val="002C2AFA"/>
    <w:rsid w:val="002C3A59"/>
    <w:rsid w:val="002C3C8D"/>
    <w:rsid w:val="002C545B"/>
    <w:rsid w:val="002C5EE7"/>
    <w:rsid w:val="002C77B7"/>
    <w:rsid w:val="002D0D24"/>
    <w:rsid w:val="002D0EE6"/>
    <w:rsid w:val="002D1A7C"/>
    <w:rsid w:val="002D1B34"/>
    <w:rsid w:val="002D356D"/>
    <w:rsid w:val="002D3E28"/>
    <w:rsid w:val="002D3F63"/>
    <w:rsid w:val="002D4AE7"/>
    <w:rsid w:val="002D555F"/>
    <w:rsid w:val="002D698A"/>
    <w:rsid w:val="002D7221"/>
    <w:rsid w:val="002E0185"/>
    <w:rsid w:val="002E074F"/>
    <w:rsid w:val="002E0BFF"/>
    <w:rsid w:val="002E3998"/>
    <w:rsid w:val="002E680D"/>
    <w:rsid w:val="002E7112"/>
    <w:rsid w:val="002E755D"/>
    <w:rsid w:val="002F0A4F"/>
    <w:rsid w:val="002F1382"/>
    <w:rsid w:val="002F33D6"/>
    <w:rsid w:val="002F3505"/>
    <w:rsid w:val="002F3FB4"/>
    <w:rsid w:val="002F4BC4"/>
    <w:rsid w:val="002F52C1"/>
    <w:rsid w:val="002F62F8"/>
    <w:rsid w:val="002F74CD"/>
    <w:rsid w:val="002F7586"/>
    <w:rsid w:val="0030002F"/>
    <w:rsid w:val="003009A3"/>
    <w:rsid w:val="00301C4B"/>
    <w:rsid w:val="0030201B"/>
    <w:rsid w:val="003032CB"/>
    <w:rsid w:val="00303A1E"/>
    <w:rsid w:val="00304327"/>
    <w:rsid w:val="0030599B"/>
    <w:rsid w:val="00305BB2"/>
    <w:rsid w:val="003066FD"/>
    <w:rsid w:val="00307949"/>
    <w:rsid w:val="00307EF9"/>
    <w:rsid w:val="00310FAE"/>
    <w:rsid w:val="003123DE"/>
    <w:rsid w:val="00312F4E"/>
    <w:rsid w:val="00313F99"/>
    <w:rsid w:val="003146E9"/>
    <w:rsid w:val="003166EB"/>
    <w:rsid w:val="00320B5E"/>
    <w:rsid w:val="00321197"/>
    <w:rsid w:val="003217BA"/>
    <w:rsid w:val="00323139"/>
    <w:rsid w:val="003240B9"/>
    <w:rsid w:val="003240FB"/>
    <w:rsid w:val="003249F9"/>
    <w:rsid w:val="0032669F"/>
    <w:rsid w:val="003271CF"/>
    <w:rsid w:val="00327EE8"/>
    <w:rsid w:val="00327F91"/>
    <w:rsid w:val="003300E0"/>
    <w:rsid w:val="00330B7D"/>
    <w:rsid w:val="00332106"/>
    <w:rsid w:val="003325A4"/>
    <w:rsid w:val="003337AF"/>
    <w:rsid w:val="00333CB5"/>
    <w:rsid w:val="003347CF"/>
    <w:rsid w:val="00334C0B"/>
    <w:rsid w:val="00335D44"/>
    <w:rsid w:val="00337284"/>
    <w:rsid w:val="003372CC"/>
    <w:rsid w:val="00337732"/>
    <w:rsid w:val="00340F0A"/>
    <w:rsid w:val="00341707"/>
    <w:rsid w:val="00341836"/>
    <w:rsid w:val="00341DE4"/>
    <w:rsid w:val="00342794"/>
    <w:rsid w:val="00342C3A"/>
    <w:rsid w:val="00342D99"/>
    <w:rsid w:val="00343256"/>
    <w:rsid w:val="003438D1"/>
    <w:rsid w:val="003438ED"/>
    <w:rsid w:val="003443FC"/>
    <w:rsid w:val="00345F46"/>
    <w:rsid w:val="00350EB2"/>
    <w:rsid w:val="00351DE5"/>
    <w:rsid w:val="00351EF2"/>
    <w:rsid w:val="003523A7"/>
    <w:rsid w:val="00352B68"/>
    <w:rsid w:val="00353155"/>
    <w:rsid w:val="0035324F"/>
    <w:rsid w:val="0035387E"/>
    <w:rsid w:val="003540EF"/>
    <w:rsid w:val="00354119"/>
    <w:rsid w:val="00356616"/>
    <w:rsid w:val="00356FB6"/>
    <w:rsid w:val="00356FE1"/>
    <w:rsid w:val="00360A17"/>
    <w:rsid w:val="0036107E"/>
    <w:rsid w:val="00361D16"/>
    <w:rsid w:val="003620DA"/>
    <w:rsid w:val="00362665"/>
    <w:rsid w:val="00362BBF"/>
    <w:rsid w:val="00363898"/>
    <w:rsid w:val="00363E42"/>
    <w:rsid w:val="00364E14"/>
    <w:rsid w:val="00365B5D"/>
    <w:rsid w:val="00366B6D"/>
    <w:rsid w:val="00366DB1"/>
    <w:rsid w:val="00367AD3"/>
    <w:rsid w:val="00372AAA"/>
    <w:rsid w:val="00373023"/>
    <w:rsid w:val="00373A91"/>
    <w:rsid w:val="0037488F"/>
    <w:rsid w:val="00374DF0"/>
    <w:rsid w:val="003750E3"/>
    <w:rsid w:val="003753A2"/>
    <w:rsid w:val="003754C8"/>
    <w:rsid w:val="003803B5"/>
    <w:rsid w:val="00380A73"/>
    <w:rsid w:val="00382AB8"/>
    <w:rsid w:val="003845D9"/>
    <w:rsid w:val="003848C8"/>
    <w:rsid w:val="00385B56"/>
    <w:rsid w:val="00385D5D"/>
    <w:rsid w:val="00386A42"/>
    <w:rsid w:val="0039015C"/>
    <w:rsid w:val="00391615"/>
    <w:rsid w:val="00392283"/>
    <w:rsid w:val="0039230A"/>
    <w:rsid w:val="00392759"/>
    <w:rsid w:val="00392AA1"/>
    <w:rsid w:val="00392F41"/>
    <w:rsid w:val="0039447C"/>
    <w:rsid w:val="003946B8"/>
    <w:rsid w:val="003954AB"/>
    <w:rsid w:val="00396915"/>
    <w:rsid w:val="003973A5"/>
    <w:rsid w:val="0039765B"/>
    <w:rsid w:val="003976F2"/>
    <w:rsid w:val="003A0531"/>
    <w:rsid w:val="003A0B3B"/>
    <w:rsid w:val="003A1362"/>
    <w:rsid w:val="003A1384"/>
    <w:rsid w:val="003A13DF"/>
    <w:rsid w:val="003A3FFF"/>
    <w:rsid w:val="003A47B7"/>
    <w:rsid w:val="003A5086"/>
    <w:rsid w:val="003A5689"/>
    <w:rsid w:val="003A6970"/>
    <w:rsid w:val="003B0311"/>
    <w:rsid w:val="003B27C0"/>
    <w:rsid w:val="003B318F"/>
    <w:rsid w:val="003B3308"/>
    <w:rsid w:val="003B3F7B"/>
    <w:rsid w:val="003B4942"/>
    <w:rsid w:val="003B4CFB"/>
    <w:rsid w:val="003B4FE9"/>
    <w:rsid w:val="003B522E"/>
    <w:rsid w:val="003B5A74"/>
    <w:rsid w:val="003B5E78"/>
    <w:rsid w:val="003B5EEB"/>
    <w:rsid w:val="003B7403"/>
    <w:rsid w:val="003B74AD"/>
    <w:rsid w:val="003B7510"/>
    <w:rsid w:val="003B79E8"/>
    <w:rsid w:val="003B7B99"/>
    <w:rsid w:val="003C05E8"/>
    <w:rsid w:val="003C0778"/>
    <w:rsid w:val="003C2432"/>
    <w:rsid w:val="003C31F0"/>
    <w:rsid w:val="003C3B97"/>
    <w:rsid w:val="003C5198"/>
    <w:rsid w:val="003C519D"/>
    <w:rsid w:val="003C5B02"/>
    <w:rsid w:val="003C60A9"/>
    <w:rsid w:val="003C753D"/>
    <w:rsid w:val="003D0B5B"/>
    <w:rsid w:val="003D34FB"/>
    <w:rsid w:val="003D4760"/>
    <w:rsid w:val="003D6630"/>
    <w:rsid w:val="003D6FA2"/>
    <w:rsid w:val="003D7766"/>
    <w:rsid w:val="003E0DFB"/>
    <w:rsid w:val="003E0E7B"/>
    <w:rsid w:val="003E15A8"/>
    <w:rsid w:val="003E16AF"/>
    <w:rsid w:val="003E17E9"/>
    <w:rsid w:val="003E2089"/>
    <w:rsid w:val="003E2603"/>
    <w:rsid w:val="003E2839"/>
    <w:rsid w:val="003E3690"/>
    <w:rsid w:val="003E3DF3"/>
    <w:rsid w:val="003E3E8F"/>
    <w:rsid w:val="003E6809"/>
    <w:rsid w:val="003E74C5"/>
    <w:rsid w:val="003E7FAE"/>
    <w:rsid w:val="003F0E72"/>
    <w:rsid w:val="003F18C4"/>
    <w:rsid w:val="003F1FE4"/>
    <w:rsid w:val="003F22CC"/>
    <w:rsid w:val="003F2932"/>
    <w:rsid w:val="003F2B9A"/>
    <w:rsid w:val="003F38D5"/>
    <w:rsid w:val="003F3EC8"/>
    <w:rsid w:val="003F516E"/>
    <w:rsid w:val="003F5256"/>
    <w:rsid w:val="003F5755"/>
    <w:rsid w:val="003F5C66"/>
    <w:rsid w:val="003F5C71"/>
    <w:rsid w:val="003F6D50"/>
    <w:rsid w:val="00401B05"/>
    <w:rsid w:val="00401F51"/>
    <w:rsid w:val="0040210A"/>
    <w:rsid w:val="004021F6"/>
    <w:rsid w:val="00402614"/>
    <w:rsid w:val="0040446E"/>
    <w:rsid w:val="00404529"/>
    <w:rsid w:val="004048D7"/>
    <w:rsid w:val="00404AE6"/>
    <w:rsid w:val="00404C15"/>
    <w:rsid w:val="00405281"/>
    <w:rsid w:val="00406599"/>
    <w:rsid w:val="004069DB"/>
    <w:rsid w:val="004072A2"/>
    <w:rsid w:val="004074A2"/>
    <w:rsid w:val="00407C1B"/>
    <w:rsid w:val="0041071B"/>
    <w:rsid w:val="00411070"/>
    <w:rsid w:val="00411A84"/>
    <w:rsid w:val="00411FF3"/>
    <w:rsid w:val="0041268E"/>
    <w:rsid w:val="004128B2"/>
    <w:rsid w:val="004128E2"/>
    <w:rsid w:val="00415761"/>
    <w:rsid w:val="0041644C"/>
    <w:rsid w:val="004178BB"/>
    <w:rsid w:val="00417F11"/>
    <w:rsid w:val="004217D1"/>
    <w:rsid w:val="00421B28"/>
    <w:rsid w:val="004220E1"/>
    <w:rsid w:val="004224CC"/>
    <w:rsid w:val="00422734"/>
    <w:rsid w:val="00422833"/>
    <w:rsid w:val="00422C38"/>
    <w:rsid w:val="004238B2"/>
    <w:rsid w:val="00423F1D"/>
    <w:rsid w:val="00425069"/>
    <w:rsid w:val="004253D4"/>
    <w:rsid w:val="00425645"/>
    <w:rsid w:val="0042582A"/>
    <w:rsid w:val="0042592B"/>
    <w:rsid w:val="00425A40"/>
    <w:rsid w:val="00426A91"/>
    <w:rsid w:val="00426B3F"/>
    <w:rsid w:val="0042709E"/>
    <w:rsid w:val="004271EA"/>
    <w:rsid w:val="004303A1"/>
    <w:rsid w:val="004309CF"/>
    <w:rsid w:val="00430BFC"/>
    <w:rsid w:val="00432188"/>
    <w:rsid w:val="00432F8C"/>
    <w:rsid w:val="00433886"/>
    <w:rsid w:val="00434715"/>
    <w:rsid w:val="00435A0F"/>
    <w:rsid w:val="00437C8E"/>
    <w:rsid w:val="0044202F"/>
    <w:rsid w:val="00442667"/>
    <w:rsid w:val="00442D1A"/>
    <w:rsid w:val="0044320E"/>
    <w:rsid w:val="004437DD"/>
    <w:rsid w:val="00444140"/>
    <w:rsid w:val="00444802"/>
    <w:rsid w:val="00444860"/>
    <w:rsid w:val="00444942"/>
    <w:rsid w:val="00444FEF"/>
    <w:rsid w:val="004455FD"/>
    <w:rsid w:val="00445F93"/>
    <w:rsid w:val="004465BA"/>
    <w:rsid w:val="00446C9B"/>
    <w:rsid w:val="00447367"/>
    <w:rsid w:val="00447A5A"/>
    <w:rsid w:val="00447B13"/>
    <w:rsid w:val="00450102"/>
    <w:rsid w:val="00450505"/>
    <w:rsid w:val="00450D67"/>
    <w:rsid w:val="00454B32"/>
    <w:rsid w:val="004551CF"/>
    <w:rsid w:val="0045559A"/>
    <w:rsid w:val="00455E30"/>
    <w:rsid w:val="00456A10"/>
    <w:rsid w:val="0045716B"/>
    <w:rsid w:val="00457E54"/>
    <w:rsid w:val="00460E6D"/>
    <w:rsid w:val="004610FD"/>
    <w:rsid w:val="004623BD"/>
    <w:rsid w:val="00462BCE"/>
    <w:rsid w:val="00462EAC"/>
    <w:rsid w:val="004637D3"/>
    <w:rsid w:val="00464139"/>
    <w:rsid w:val="0046560D"/>
    <w:rsid w:val="00466192"/>
    <w:rsid w:val="00466AE3"/>
    <w:rsid w:val="00470F77"/>
    <w:rsid w:val="0047252B"/>
    <w:rsid w:val="00472B49"/>
    <w:rsid w:val="0047385F"/>
    <w:rsid w:val="004740E4"/>
    <w:rsid w:val="0047445E"/>
    <w:rsid w:val="00474AE9"/>
    <w:rsid w:val="00474DC1"/>
    <w:rsid w:val="0047749B"/>
    <w:rsid w:val="0048093F"/>
    <w:rsid w:val="00480A2E"/>
    <w:rsid w:val="00481070"/>
    <w:rsid w:val="00482C8F"/>
    <w:rsid w:val="00484E3F"/>
    <w:rsid w:val="0048562F"/>
    <w:rsid w:val="00486FB1"/>
    <w:rsid w:val="004904F6"/>
    <w:rsid w:val="004914DB"/>
    <w:rsid w:val="00491E96"/>
    <w:rsid w:val="00491F6F"/>
    <w:rsid w:val="004930FB"/>
    <w:rsid w:val="004939F2"/>
    <w:rsid w:val="00494C02"/>
    <w:rsid w:val="00495D52"/>
    <w:rsid w:val="00495E4B"/>
    <w:rsid w:val="00495E4C"/>
    <w:rsid w:val="004961F2"/>
    <w:rsid w:val="00496D84"/>
    <w:rsid w:val="004970E1"/>
    <w:rsid w:val="00497319"/>
    <w:rsid w:val="00497854"/>
    <w:rsid w:val="00497A69"/>
    <w:rsid w:val="004A0F14"/>
    <w:rsid w:val="004A3FC4"/>
    <w:rsid w:val="004A52D5"/>
    <w:rsid w:val="004A5527"/>
    <w:rsid w:val="004A6293"/>
    <w:rsid w:val="004A6474"/>
    <w:rsid w:val="004A79F0"/>
    <w:rsid w:val="004B0D8F"/>
    <w:rsid w:val="004B1087"/>
    <w:rsid w:val="004B142D"/>
    <w:rsid w:val="004B1493"/>
    <w:rsid w:val="004B17F7"/>
    <w:rsid w:val="004B1C01"/>
    <w:rsid w:val="004B252A"/>
    <w:rsid w:val="004B320D"/>
    <w:rsid w:val="004B4C1F"/>
    <w:rsid w:val="004B5144"/>
    <w:rsid w:val="004B68FD"/>
    <w:rsid w:val="004B74F8"/>
    <w:rsid w:val="004B7B01"/>
    <w:rsid w:val="004C0DA9"/>
    <w:rsid w:val="004C0DF2"/>
    <w:rsid w:val="004C140B"/>
    <w:rsid w:val="004C1897"/>
    <w:rsid w:val="004C1A7E"/>
    <w:rsid w:val="004C22E8"/>
    <w:rsid w:val="004C2E64"/>
    <w:rsid w:val="004C2F8F"/>
    <w:rsid w:val="004C4DA4"/>
    <w:rsid w:val="004C58B1"/>
    <w:rsid w:val="004C5D0C"/>
    <w:rsid w:val="004C5F98"/>
    <w:rsid w:val="004C6890"/>
    <w:rsid w:val="004C69B3"/>
    <w:rsid w:val="004C6A7F"/>
    <w:rsid w:val="004C700E"/>
    <w:rsid w:val="004D1494"/>
    <w:rsid w:val="004D3B8D"/>
    <w:rsid w:val="004D5A9C"/>
    <w:rsid w:val="004D65DA"/>
    <w:rsid w:val="004D67FB"/>
    <w:rsid w:val="004D69F0"/>
    <w:rsid w:val="004D7328"/>
    <w:rsid w:val="004D7E5A"/>
    <w:rsid w:val="004E0CBF"/>
    <w:rsid w:val="004E21C1"/>
    <w:rsid w:val="004E28A3"/>
    <w:rsid w:val="004E28E8"/>
    <w:rsid w:val="004E4F37"/>
    <w:rsid w:val="004E5B8A"/>
    <w:rsid w:val="004E6EC0"/>
    <w:rsid w:val="004E768B"/>
    <w:rsid w:val="004E7E89"/>
    <w:rsid w:val="004F1914"/>
    <w:rsid w:val="004F5661"/>
    <w:rsid w:val="004F5C3F"/>
    <w:rsid w:val="004F7045"/>
    <w:rsid w:val="004F70CC"/>
    <w:rsid w:val="00500790"/>
    <w:rsid w:val="00501BB2"/>
    <w:rsid w:val="005022BB"/>
    <w:rsid w:val="00502323"/>
    <w:rsid w:val="00502505"/>
    <w:rsid w:val="00503D8B"/>
    <w:rsid w:val="00504DE7"/>
    <w:rsid w:val="005059ED"/>
    <w:rsid w:val="00505A2F"/>
    <w:rsid w:val="00505B12"/>
    <w:rsid w:val="00507739"/>
    <w:rsid w:val="00507EDD"/>
    <w:rsid w:val="0051012A"/>
    <w:rsid w:val="00510DFE"/>
    <w:rsid w:val="0051191D"/>
    <w:rsid w:val="00511AA9"/>
    <w:rsid w:val="00511E98"/>
    <w:rsid w:val="005130AD"/>
    <w:rsid w:val="00513769"/>
    <w:rsid w:val="00513DFB"/>
    <w:rsid w:val="0051537C"/>
    <w:rsid w:val="00515464"/>
    <w:rsid w:val="005165CF"/>
    <w:rsid w:val="00520622"/>
    <w:rsid w:val="00520CDC"/>
    <w:rsid w:val="005215C0"/>
    <w:rsid w:val="00522F42"/>
    <w:rsid w:val="005244F5"/>
    <w:rsid w:val="00525C9E"/>
    <w:rsid w:val="00525F44"/>
    <w:rsid w:val="00530CB9"/>
    <w:rsid w:val="00532859"/>
    <w:rsid w:val="00533127"/>
    <w:rsid w:val="00535180"/>
    <w:rsid w:val="0053557D"/>
    <w:rsid w:val="00535E68"/>
    <w:rsid w:val="00536304"/>
    <w:rsid w:val="00536AF4"/>
    <w:rsid w:val="005374E1"/>
    <w:rsid w:val="00540146"/>
    <w:rsid w:val="00540917"/>
    <w:rsid w:val="00541DE9"/>
    <w:rsid w:val="00541F87"/>
    <w:rsid w:val="005459EE"/>
    <w:rsid w:val="00545A27"/>
    <w:rsid w:val="00546705"/>
    <w:rsid w:val="0054700B"/>
    <w:rsid w:val="005471DB"/>
    <w:rsid w:val="00547B34"/>
    <w:rsid w:val="00547CC3"/>
    <w:rsid w:val="005507A3"/>
    <w:rsid w:val="005513D6"/>
    <w:rsid w:val="005552E0"/>
    <w:rsid w:val="005562F9"/>
    <w:rsid w:val="0055642A"/>
    <w:rsid w:val="00557356"/>
    <w:rsid w:val="00560246"/>
    <w:rsid w:val="0056028B"/>
    <w:rsid w:val="005603A3"/>
    <w:rsid w:val="0056098A"/>
    <w:rsid w:val="00561001"/>
    <w:rsid w:val="005615BD"/>
    <w:rsid w:val="00563031"/>
    <w:rsid w:val="005638E7"/>
    <w:rsid w:val="00564286"/>
    <w:rsid w:val="005642FD"/>
    <w:rsid w:val="005644D8"/>
    <w:rsid w:val="00564B19"/>
    <w:rsid w:val="0056526F"/>
    <w:rsid w:val="0056552E"/>
    <w:rsid w:val="00566606"/>
    <w:rsid w:val="00566959"/>
    <w:rsid w:val="00566C26"/>
    <w:rsid w:val="005671B0"/>
    <w:rsid w:val="00567598"/>
    <w:rsid w:val="00567C99"/>
    <w:rsid w:val="00570114"/>
    <w:rsid w:val="00571A53"/>
    <w:rsid w:val="00573488"/>
    <w:rsid w:val="00575447"/>
    <w:rsid w:val="0057593E"/>
    <w:rsid w:val="00576118"/>
    <w:rsid w:val="00576CEE"/>
    <w:rsid w:val="00576F44"/>
    <w:rsid w:val="0057797D"/>
    <w:rsid w:val="00581540"/>
    <w:rsid w:val="00581631"/>
    <w:rsid w:val="0058404C"/>
    <w:rsid w:val="00584EB8"/>
    <w:rsid w:val="00585109"/>
    <w:rsid w:val="00585190"/>
    <w:rsid w:val="00585E07"/>
    <w:rsid w:val="00586C9C"/>
    <w:rsid w:val="00586F4A"/>
    <w:rsid w:val="00587097"/>
    <w:rsid w:val="005900B8"/>
    <w:rsid w:val="00590467"/>
    <w:rsid w:val="005910E3"/>
    <w:rsid w:val="005941ED"/>
    <w:rsid w:val="005944A0"/>
    <w:rsid w:val="0059633F"/>
    <w:rsid w:val="005969F0"/>
    <w:rsid w:val="00596EAE"/>
    <w:rsid w:val="0059704C"/>
    <w:rsid w:val="005972AF"/>
    <w:rsid w:val="00597E16"/>
    <w:rsid w:val="005A0410"/>
    <w:rsid w:val="005A0848"/>
    <w:rsid w:val="005A1020"/>
    <w:rsid w:val="005A40E1"/>
    <w:rsid w:val="005A4EE4"/>
    <w:rsid w:val="005A6251"/>
    <w:rsid w:val="005A639C"/>
    <w:rsid w:val="005A6414"/>
    <w:rsid w:val="005A6928"/>
    <w:rsid w:val="005A7EED"/>
    <w:rsid w:val="005B0502"/>
    <w:rsid w:val="005B20B2"/>
    <w:rsid w:val="005B2C71"/>
    <w:rsid w:val="005B36A9"/>
    <w:rsid w:val="005B3EB5"/>
    <w:rsid w:val="005B51EF"/>
    <w:rsid w:val="005B63AC"/>
    <w:rsid w:val="005B63C3"/>
    <w:rsid w:val="005B70A6"/>
    <w:rsid w:val="005B746A"/>
    <w:rsid w:val="005B7E8F"/>
    <w:rsid w:val="005C1899"/>
    <w:rsid w:val="005C2F5D"/>
    <w:rsid w:val="005C3329"/>
    <w:rsid w:val="005C3D91"/>
    <w:rsid w:val="005C4049"/>
    <w:rsid w:val="005C4125"/>
    <w:rsid w:val="005C5163"/>
    <w:rsid w:val="005C6553"/>
    <w:rsid w:val="005C7A20"/>
    <w:rsid w:val="005D048D"/>
    <w:rsid w:val="005D24A6"/>
    <w:rsid w:val="005D2D7B"/>
    <w:rsid w:val="005D338E"/>
    <w:rsid w:val="005D4107"/>
    <w:rsid w:val="005D7125"/>
    <w:rsid w:val="005E0280"/>
    <w:rsid w:val="005E1274"/>
    <w:rsid w:val="005E13A0"/>
    <w:rsid w:val="005E179D"/>
    <w:rsid w:val="005E35A2"/>
    <w:rsid w:val="005E37A8"/>
    <w:rsid w:val="005E3EE5"/>
    <w:rsid w:val="005E3F7E"/>
    <w:rsid w:val="005E488E"/>
    <w:rsid w:val="005E5502"/>
    <w:rsid w:val="005F01FC"/>
    <w:rsid w:val="005F0D98"/>
    <w:rsid w:val="005F11AA"/>
    <w:rsid w:val="005F2998"/>
    <w:rsid w:val="005F3949"/>
    <w:rsid w:val="005F49E6"/>
    <w:rsid w:val="005F49E8"/>
    <w:rsid w:val="005F54E1"/>
    <w:rsid w:val="005F7505"/>
    <w:rsid w:val="006019AF"/>
    <w:rsid w:val="006021DA"/>
    <w:rsid w:val="00602C86"/>
    <w:rsid w:val="00603F74"/>
    <w:rsid w:val="00604256"/>
    <w:rsid w:val="0060513E"/>
    <w:rsid w:val="00607051"/>
    <w:rsid w:val="00607199"/>
    <w:rsid w:val="00607A28"/>
    <w:rsid w:val="00607A47"/>
    <w:rsid w:val="00610259"/>
    <w:rsid w:val="00611878"/>
    <w:rsid w:val="00611AD9"/>
    <w:rsid w:val="00612634"/>
    <w:rsid w:val="00612874"/>
    <w:rsid w:val="00614034"/>
    <w:rsid w:val="00614271"/>
    <w:rsid w:val="00615593"/>
    <w:rsid w:val="006171DD"/>
    <w:rsid w:val="006201FB"/>
    <w:rsid w:val="006224BC"/>
    <w:rsid w:val="00622837"/>
    <w:rsid w:val="006241E6"/>
    <w:rsid w:val="00624A65"/>
    <w:rsid w:val="006258AE"/>
    <w:rsid w:val="00625F13"/>
    <w:rsid w:val="00627D40"/>
    <w:rsid w:val="006302E8"/>
    <w:rsid w:val="00630393"/>
    <w:rsid w:val="00630A7A"/>
    <w:rsid w:val="00630C55"/>
    <w:rsid w:val="00631E34"/>
    <w:rsid w:val="00631F33"/>
    <w:rsid w:val="00632189"/>
    <w:rsid w:val="00632FF3"/>
    <w:rsid w:val="00633004"/>
    <w:rsid w:val="0063342A"/>
    <w:rsid w:val="00633526"/>
    <w:rsid w:val="00633A79"/>
    <w:rsid w:val="00634052"/>
    <w:rsid w:val="00634378"/>
    <w:rsid w:val="006365BB"/>
    <w:rsid w:val="006371C0"/>
    <w:rsid w:val="00637D7E"/>
    <w:rsid w:val="006414BC"/>
    <w:rsid w:val="00642137"/>
    <w:rsid w:val="006421FB"/>
    <w:rsid w:val="00642B22"/>
    <w:rsid w:val="006432BD"/>
    <w:rsid w:val="00644E20"/>
    <w:rsid w:val="0064561D"/>
    <w:rsid w:val="00645C6D"/>
    <w:rsid w:val="00646BC6"/>
    <w:rsid w:val="0064796C"/>
    <w:rsid w:val="00647ECE"/>
    <w:rsid w:val="00650011"/>
    <w:rsid w:val="006511B3"/>
    <w:rsid w:val="0065149D"/>
    <w:rsid w:val="00651556"/>
    <w:rsid w:val="00651BAF"/>
    <w:rsid w:val="00651E6D"/>
    <w:rsid w:val="00651F15"/>
    <w:rsid w:val="00652ECB"/>
    <w:rsid w:val="0065416B"/>
    <w:rsid w:val="0065426F"/>
    <w:rsid w:val="00655110"/>
    <w:rsid w:val="0065682B"/>
    <w:rsid w:val="006569A8"/>
    <w:rsid w:val="00656C3E"/>
    <w:rsid w:val="006578A8"/>
    <w:rsid w:val="00660948"/>
    <w:rsid w:val="006610E2"/>
    <w:rsid w:val="006622A7"/>
    <w:rsid w:val="0066292B"/>
    <w:rsid w:val="00662AA9"/>
    <w:rsid w:val="00662C0E"/>
    <w:rsid w:val="00663368"/>
    <w:rsid w:val="006640B2"/>
    <w:rsid w:val="00664CE2"/>
    <w:rsid w:val="00665AF6"/>
    <w:rsid w:val="006669C5"/>
    <w:rsid w:val="006679EB"/>
    <w:rsid w:val="00670844"/>
    <w:rsid w:val="00670B9A"/>
    <w:rsid w:val="00672182"/>
    <w:rsid w:val="00672A44"/>
    <w:rsid w:val="006734D1"/>
    <w:rsid w:val="0067501F"/>
    <w:rsid w:val="00675CC3"/>
    <w:rsid w:val="00677BF0"/>
    <w:rsid w:val="00680FB8"/>
    <w:rsid w:val="006828B3"/>
    <w:rsid w:val="006834BD"/>
    <w:rsid w:val="006846AA"/>
    <w:rsid w:val="00685596"/>
    <w:rsid w:val="0068573C"/>
    <w:rsid w:val="006862C7"/>
    <w:rsid w:val="006869AC"/>
    <w:rsid w:val="00686E87"/>
    <w:rsid w:val="00687CFE"/>
    <w:rsid w:val="006901E0"/>
    <w:rsid w:val="00690980"/>
    <w:rsid w:val="0069225B"/>
    <w:rsid w:val="006925B3"/>
    <w:rsid w:val="00692E2D"/>
    <w:rsid w:val="00693698"/>
    <w:rsid w:val="0069484C"/>
    <w:rsid w:val="00694983"/>
    <w:rsid w:val="00694BA6"/>
    <w:rsid w:val="00695DD6"/>
    <w:rsid w:val="006A012F"/>
    <w:rsid w:val="006A0996"/>
    <w:rsid w:val="006A0DD6"/>
    <w:rsid w:val="006A19ED"/>
    <w:rsid w:val="006A293C"/>
    <w:rsid w:val="006A2E42"/>
    <w:rsid w:val="006A36C2"/>
    <w:rsid w:val="006A38D8"/>
    <w:rsid w:val="006A52F4"/>
    <w:rsid w:val="006A5C50"/>
    <w:rsid w:val="006A6B06"/>
    <w:rsid w:val="006A6D42"/>
    <w:rsid w:val="006B2D20"/>
    <w:rsid w:val="006B353E"/>
    <w:rsid w:val="006B3F94"/>
    <w:rsid w:val="006B517B"/>
    <w:rsid w:val="006B6E98"/>
    <w:rsid w:val="006C0745"/>
    <w:rsid w:val="006C0771"/>
    <w:rsid w:val="006C1651"/>
    <w:rsid w:val="006C2CFD"/>
    <w:rsid w:val="006C3FB6"/>
    <w:rsid w:val="006C711E"/>
    <w:rsid w:val="006D113B"/>
    <w:rsid w:val="006D1A68"/>
    <w:rsid w:val="006D1C78"/>
    <w:rsid w:val="006D1FA2"/>
    <w:rsid w:val="006D2043"/>
    <w:rsid w:val="006D20BA"/>
    <w:rsid w:val="006D379B"/>
    <w:rsid w:val="006D46EF"/>
    <w:rsid w:val="006D62E4"/>
    <w:rsid w:val="006D6E78"/>
    <w:rsid w:val="006E0523"/>
    <w:rsid w:val="006E1ADF"/>
    <w:rsid w:val="006E1D85"/>
    <w:rsid w:val="006E301E"/>
    <w:rsid w:val="006E3089"/>
    <w:rsid w:val="006E3512"/>
    <w:rsid w:val="006E4D09"/>
    <w:rsid w:val="006E597E"/>
    <w:rsid w:val="006E66BC"/>
    <w:rsid w:val="006E734E"/>
    <w:rsid w:val="006E7F31"/>
    <w:rsid w:val="006F0CDE"/>
    <w:rsid w:val="006F1D2E"/>
    <w:rsid w:val="006F22F6"/>
    <w:rsid w:val="006F2A77"/>
    <w:rsid w:val="006F2C47"/>
    <w:rsid w:val="006F429F"/>
    <w:rsid w:val="006F4919"/>
    <w:rsid w:val="006F671A"/>
    <w:rsid w:val="006F76A1"/>
    <w:rsid w:val="00700046"/>
    <w:rsid w:val="00700163"/>
    <w:rsid w:val="007007EC"/>
    <w:rsid w:val="00700B45"/>
    <w:rsid w:val="007013E1"/>
    <w:rsid w:val="007021C9"/>
    <w:rsid w:val="00702604"/>
    <w:rsid w:val="00703136"/>
    <w:rsid w:val="00703427"/>
    <w:rsid w:val="0070418F"/>
    <w:rsid w:val="00704644"/>
    <w:rsid w:val="00704FFC"/>
    <w:rsid w:val="007066A7"/>
    <w:rsid w:val="0070685E"/>
    <w:rsid w:val="007069A1"/>
    <w:rsid w:val="007075BA"/>
    <w:rsid w:val="00707733"/>
    <w:rsid w:val="007103C8"/>
    <w:rsid w:val="00711F98"/>
    <w:rsid w:val="00712E70"/>
    <w:rsid w:val="0071396C"/>
    <w:rsid w:val="00714277"/>
    <w:rsid w:val="00720507"/>
    <w:rsid w:val="00720C6B"/>
    <w:rsid w:val="0072110A"/>
    <w:rsid w:val="00721E35"/>
    <w:rsid w:val="00722077"/>
    <w:rsid w:val="007246D6"/>
    <w:rsid w:val="0072598C"/>
    <w:rsid w:val="00725BF0"/>
    <w:rsid w:val="0072623B"/>
    <w:rsid w:val="00727A27"/>
    <w:rsid w:val="00730C18"/>
    <w:rsid w:val="00730CA9"/>
    <w:rsid w:val="007324FA"/>
    <w:rsid w:val="00732959"/>
    <w:rsid w:val="00732E0C"/>
    <w:rsid w:val="007344B5"/>
    <w:rsid w:val="00735A39"/>
    <w:rsid w:val="00736296"/>
    <w:rsid w:val="00736367"/>
    <w:rsid w:val="007364D5"/>
    <w:rsid w:val="007365F7"/>
    <w:rsid w:val="007369F4"/>
    <w:rsid w:val="00740227"/>
    <w:rsid w:val="00741D9D"/>
    <w:rsid w:val="007429E5"/>
    <w:rsid w:val="00742CD2"/>
    <w:rsid w:val="00742E5B"/>
    <w:rsid w:val="0074318D"/>
    <w:rsid w:val="007449DC"/>
    <w:rsid w:val="00744B72"/>
    <w:rsid w:val="00744E9F"/>
    <w:rsid w:val="00747E92"/>
    <w:rsid w:val="00752DCB"/>
    <w:rsid w:val="0075421C"/>
    <w:rsid w:val="0075439F"/>
    <w:rsid w:val="007549D3"/>
    <w:rsid w:val="007551A6"/>
    <w:rsid w:val="00756A3F"/>
    <w:rsid w:val="00756D94"/>
    <w:rsid w:val="00756FEA"/>
    <w:rsid w:val="0075787F"/>
    <w:rsid w:val="007578C8"/>
    <w:rsid w:val="00760B89"/>
    <w:rsid w:val="007614D4"/>
    <w:rsid w:val="0076489D"/>
    <w:rsid w:val="00765CEA"/>
    <w:rsid w:val="007664A5"/>
    <w:rsid w:val="00766D21"/>
    <w:rsid w:val="00767A5E"/>
    <w:rsid w:val="00770BA4"/>
    <w:rsid w:val="007722E7"/>
    <w:rsid w:val="00772553"/>
    <w:rsid w:val="007736A4"/>
    <w:rsid w:val="00774051"/>
    <w:rsid w:val="00775A4D"/>
    <w:rsid w:val="00776637"/>
    <w:rsid w:val="00776A41"/>
    <w:rsid w:val="00776C60"/>
    <w:rsid w:val="0077742E"/>
    <w:rsid w:val="00780DCA"/>
    <w:rsid w:val="00781898"/>
    <w:rsid w:val="00781CA6"/>
    <w:rsid w:val="007830EB"/>
    <w:rsid w:val="007837B9"/>
    <w:rsid w:val="00784AAF"/>
    <w:rsid w:val="00785AE4"/>
    <w:rsid w:val="00786C1B"/>
    <w:rsid w:val="00787371"/>
    <w:rsid w:val="00787CAB"/>
    <w:rsid w:val="00787F39"/>
    <w:rsid w:val="007900FD"/>
    <w:rsid w:val="007907BC"/>
    <w:rsid w:val="00791E98"/>
    <w:rsid w:val="0079239E"/>
    <w:rsid w:val="007935E4"/>
    <w:rsid w:val="00796E47"/>
    <w:rsid w:val="007A13EF"/>
    <w:rsid w:val="007A1452"/>
    <w:rsid w:val="007A1B4A"/>
    <w:rsid w:val="007A5810"/>
    <w:rsid w:val="007A5E51"/>
    <w:rsid w:val="007A650C"/>
    <w:rsid w:val="007A7BAB"/>
    <w:rsid w:val="007B2E54"/>
    <w:rsid w:val="007B3372"/>
    <w:rsid w:val="007B5D70"/>
    <w:rsid w:val="007B5DB8"/>
    <w:rsid w:val="007B62F6"/>
    <w:rsid w:val="007B796E"/>
    <w:rsid w:val="007B7E0D"/>
    <w:rsid w:val="007C006D"/>
    <w:rsid w:val="007C046E"/>
    <w:rsid w:val="007C09B9"/>
    <w:rsid w:val="007C0A8C"/>
    <w:rsid w:val="007C1B3B"/>
    <w:rsid w:val="007C1F88"/>
    <w:rsid w:val="007C2AC1"/>
    <w:rsid w:val="007C3614"/>
    <w:rsid w:val="007C526A"/>
    <w:rsid w:val="007C5FD1"/>
    <w:rsid w:val="007C697F"/>
    <w:rsid w:val="007C6B89"/>
    <w:rsid w:val="007C7F78"/>
    <w:rsid w:val="007D0265"/>
    <w:rsid w:val="007D0503"/>
    <w:rsid w:val="007D0E05"/>
    <w:rsid w:val="007D0F8C"/>
    <w:rsid w:val="007D1163"/>
    <w:rsid w:val="007D1376"/>
    <w:rsid w:val="007D1C73"/>
    <w:rsid w:val="007D2038"/>
    <w:rsid w:val="007D214C"/>
    <w:rsid w:val="007D21D7"/>
    <w:rsid w:val="007D2968"/>
    <w:rsid w:val="007D2EAD"/>
    <w:rsid w:val="007D4170"/>
    <w:rsid w:val="007D50E6"/>
    <w:rsid w:val="007D5A8D"/>
    <w:rsid w:val="007D6427"/>
    <w:rsid w:val="007D7C49"/>
    <w:rsid w:val="007E0EE3"/>
    <w:rsid w:val="007E242A"/>
    <w:rsid w:val="007E4E15"/>
    <w:rsid w:val="007E5E63"/>
    <w:rsid w:val="007E64A6"/>
    <w:rsid w:val="007E6A29"/>
    <w:rsid w:val="007F08A9"/>
    <w:rsid w:val="007F19CC"/>
    <w:rsid w:val="007F2AA4"/>
    <w:rsid w:val="007F3011"/>
    <w:rsid w:val="007F77EA"/>
    <w:rsid w:val="007F7842"/>
    <w:rsid w:val="00802CDE"/>
    <w:rsid w:val="00804A6C"/>
    <w:rsid w:val="00804CB7"/>
    <w:rsid w:val="00804CE8"/>
    <w:rsid w:val="00810F6A"/>
    <w:rsid w:val="00811933"/>
    <w:rsid w:val="00814A78"/>
    <w:rsid w:val="00816CCA"/>
    <w:rsid w:val="00816D15"/>
    <w:rsid w:val="00817242"/>
    <w:rsid w:val="00817B51"/>
    <w:rsid w:val="0082008E"/>
    <w:rsid w:val="0082068E"/>
    <w:rsid w:val="00820B40"/>
    <w:rsid w:val="00821480"/>
    <w:rsid w:val="0082183D"/>
    <w:rsid w:val="00821C4E"/>
    <w:rsid w:val="008220A3"/>
    <w:rsid w:val="00823955"/>
    <w:rsid w:val="00824BCF"/>
    <w:rsid w:val="00824BDB"/>
    <w:rsid w:val="008253B0"/>
    <w:rsid w:val="00825464"/>
    <w:rsid w:val="008268AE"/>
    <w:rsid w:val="008311D9"/>
    <w:rsid w:val="00831A4C"/>
    <w:rsid w:val="0083368D"/>
    <w:rsid w:val="00833B22"/>
    <w:rsid w:val="00833B61"/>
    <w:rsid w:val="0083561B"/>
    <w:rsid w:val="008364B5"/>
    <w:rsid w:val="00836E6F"/>
    <w:rsid w:val="00837A76"/>
    <w:rsid w:val="008415E6"/>
    <w:rsid w:val="0084169F"/>
    <w:rsid w:val="00841E70"/>
    <w:rsid w:val="0084308C"/>
    <w:rsid w:val="008476A7"/>
    <w:rsid w:val="00847D71"/>
    <w:rsid w:val="00847FA5"/>
    <w:rsid w:val="008504A2"/>
    <w:rsid w:val="008529BA"/>
    <w:rsid w:val="00853C36"/>
    <w:rsid w:val="00853C71"/>
    <w:rsid w:val="00854698"/>
    <w:rsid w:val="008552DA"/>
    <w:rsid w:val="00855389"/>
    <w:rsid w:val="0085636A"/>
    <w:rsid w:val="00856552"/>
    <w:rsid w:val="008565BD"/>
    <w:rsid w:val="00857708"/>
    <w:rsid w:val="00857C07"/>
    <w:rsid w:val="008604CE"/>
    <w:rsid w:val="008605D0"/>
    <w:rsid w:val="00860F8A"/>
    <w:rsid w:val="008614BD"/>
    <w:rsid w:val="0086330B"/>
    <w:rsid w:val="0086459B"/>
    <w:rsid w:val="008647E3"/>
    <w:rsid w:val="0086543D"/>
    <w:rsid w:val="00867079"/>
    <w:rsid w:val="008671AC"/>
    <w:rsid w:val="008674F1"/>
    <w:rsid w:val="00870DA1"/>
    <w:rsid w:val="00871187"/>
    <w:rsid w:val="008717E9"/>
    <w:rsid w:val="00871B44"/>
    <w:rsid w:val="00871E0B"/>
    <w:rsid w:val="00872053"/>
    <w:rsid w:val="00873780"/>
    <w:rsid w:val="00873F48"/>
    <w:rsid w:val="008740D7"/>
    <w:rsid w:val="00875013"/>
    <w:rsid w:val="00875310"/>
    <w:rsid w:val="00876458"/>
    <w:rsid w:val="0088075C"/>
    <w:rsid w:val="0088081A"/>
    <w:rsid w:val="00881DBD"/>
    <w:rsid w:val="00883F7B"/>
    <w:rsid w:val="0088406B"/>
    <w:rsid w:val="00890FD1"/>
    <w:rsid w:val="008937FD"/>
    <w:rsid w:val="0089409C"/>
    <w:rsid w:val="008941AB"/>
    <w:rsid w:val="00894702"/>
    <w:rsid w:val="00896248"/>
    <w:rsid w:val="008A1743"/>
    <w:rsid w:val="008A2420"/>
    <w:rsid w:val="008A6342"/>
    <w:rsid w:val="008A68A9"/>
    <w:rsid w:val="008A7AEF"/>
    <w:rsid w:val="008A7FC0"/>
    <w:rsid w:val="008B0886"/>
    <w:rsid w:val="008B17B2"/>
    <w:rsid w:val="008B23BD"/>
    <w:rsid w:val="008B2947"/>
    <w:rsid w:val="008B3091"/>
    <w:rsid w:val="008B3831"/>
    <w:rsid w:val="008B4F51"/>
    <w:rsid w:val="008B5489"/>
    <w:rsid w:val="008B55A2"/>
    <w:rsid w:val="008B55D5"/>
    <w:rsid w:val="008B6A06"/>
    <w:rsid w:val="008B6D32"/>
    <w:rsid w:val="008B7701"/>
    <w:rsid w:val="008B7C4F"/>
    <w:rsid w:val="008B7EBC"/>
    <w:rsid w:val="008C1360"/>
    <w:rsid w:val="008C3614"/>
    <w:rsid w:val="008C373D"/>
    <w:rsid w:val="008C3784"/>
    <w:rsid w:val="008C39DE"/>
    <w:rsid w:val="008C5FC2"/>
    <w:rsid w:val="008C7434"/>
    <w:rsid w:val="008C74DC"/>
    <w:rsid w:val="008D0C32"/>
    <w:rsid w:val="008D0ED4"/>
    <w:rsid w:val="008D0F3E"/>
    <w:rsid w:val="008D2F3C"/>
    <w:rsid w:val="008D3037"/>
    <w:rsid w:val="008D4B4D"/>
    <w:rsid w:val="008D5302"/>
    <w:rsid w:val="008D54DF"/>
    <w:rsid w:val="008D690D"/>
    <w:rsid w:val="008D7667"/>
    <w:rsid w:val="008E077B"/>
    <w:rsid w:val="008E27E3"/>
    <w:rsid w:val="008E31ED"/>
    <w:rsid w:val="008E32E7"/>
    <w:rsid w:val="008E34ED"/>
    <w:rsid w:val="008E35DB"/>
    <w:rsid w:val="008E3A4A"/>
    <w:rsid w:val="008E4109"/>
    <w:rsid w:val="008E452D"/>
    <w:rsid w:val="008E4C40"/>
    <w:rsid w:val="008E4DAC"/>
    <w:rsid w:val="008E5202"/>
    <w:rsid w:val="008E5B2F"/>
    <w:rsid w:val="008E5FD1"/>
    <w:rsid w:val="008E6525"/>
    <w:rsid w:val="008E7318"/>
    <w:rsid w:val="008E7412"/>
    <w:rsid w:val="008F084F"/>
    <w:rsid w:val="008F0868"/>
    <w:rsid w:val="008F1EF5"/>
    <w:rsid w:val="008F2EB5"/>
    <w:rsid w:val="008F2FA6"/>
    <w:rsid w:val="008F41AF"/>
    <w:rsid w:val="008F4743"/>
    <w:rsid w:val="008F4DA3"/>
    <w:rsid w:val="008F50B1"/>
    <w:rsid w:val="008F53A2"/>
    <w:rsid w:val="008F542D"/>
    <w:rsid w:val="008F55D6"/>
    <w:rsid w:val="008F662B"/>
    <w:rsid w:val="008F6C00"/>
    <w:rsid w:val="008F6F13"/>
    <w:rsid w:val="008F76D6"/>
    <w:rsid w:val="00902D53"/>
    <w:rsid w:val="0090607E"/>
    <w:rsid w:val="00906BFF"/>
    <w:rsid w:val="00907276"/>
    <w:rsid w:val="00907D37"/>
    <w:rsid w:val="009100AA"/>
    <w:rsid w:val="00914F61"/>
    <w:rsid w:val="00915075"/>
    <w:rsid w:val="009157E6"/>
    <w:rsid w:val="009159EA"/>
    <w:rsid w:val="00915B05"/>
    <w:rsid w:val="00916885"/>
    <w:rsid w:val="0091762B"/>
    <w:rsid w:val="00917C70"/>
    <w:rsid w:val="0092088B"/>
    <w:rsid w:val="00922043"/>
    <w:rsid w:val="00922695"/>
    <w:rsid w:val="009245C8"/>
    <w:rsid w:val="00924911"/>
    <w:rsid w:val="00924A3C"/>
    <w:rsid w:val="00924EA0"/>
    <w:rsid w:val="009250DD"/>
    <w:rsid w:val="00925614"/>
    <w:rsid w:val="00931785"/>
    <w:rsid w:val="00931C53"/>
    <w:rsid w:val="00931FA9"/>
    <w:rsid w:val="00932A13"/>
    <w:rsid w:val="00933C6C"/>
    <w:rsid w:val="009342B1"/>
    <w:rsid w:val="0093456D"/>
    <w:rsid w:val="00935EDD"/>
    <w:rsid w:val="0093627A"/>
    <w:rsid w:val="00936900"/>
    <w:rsid w:val="00937440"/>
    <w:rsid w:val="00940400"/>
    <w:rsid w:val="00940B0C"/>
    <w:rsid w:val="00940B54"/>
    <w:rsid w:val="00941867"/>
    <w:rsid w:val="00941C7C"/>
    <w:rsid w:val="00942603"/>
    <w:rsid w:val="009428AE"/>
    <w:rsid w:val="00943375"/>
    <w:rsid w:val="009436D9"/>
    <w:rsid w:val="00943B24"/>
    <w:rsid w:val="0094483E"/>
    <w:rsid w:val="00944C46"/>
    <w:rsid w:val="00944E13"/>
    <w:rsid w:val="00944F5A"/>
    <w:rsid w:val="00945278"/>
    <w:rsid w:val="00945683"/>
    <w:rsid w:val="009459B0"/>
    <w:rsid w:val="00947515"/>
    <w:rsid w:val="00947D51"/>
    <w:rsid w:val="00950510"/>
    <w:rsid w:val="00952399"/>
    <w:rsid w:val="00952DDF"/>
    <w:rsid w:val="009532C4"/>
    <w:rsid w:val="009545F6"/>
    <w:rsid w:val="00954B1B"/>
    <w:rsid w:val="00955673"/>
    <w:rsid w:val="00955CB8"/>
    <w:rsid w:val="009563BE"/>
    <w:rsid w:val="00956AFD"/>
    <w:rsid w:val="00956ED2"/>
    <w:rsid w:val="00957ADF"/>
    <w:rsid w:val="00960632"/>
    <w:rsid w:val="009611C0"/>
    <w:rsid w:val="009613FA"/>
    <w:rsid w:val="00963B9C"/>
    <w:rsid w:val="00964A4E"/>
    <w:rsid w:val="00964BC5"/>
    <w:rsid w:val="00965AA1"/>
    <w:rsid w:val="00970703"/>
    <w:rsid w:val="00971039"/>
    <w:rsid w:val="00971C84"/>
    <w:rsid w:val="0097323C"/>
    <w:rsid w:val="00973AB6"/>
    <w:rsid w:val="00974BFD"/>
    <w:rsid w:val="0097606A"/>
    <w:rsid w:val="009766B7"/>
    <w:rsid w:val="00976BA3"/>
    <w:rsid w:val="009776D9"/>
    <w:rsid w:val="0097774F"/>
    <w:rsid w:val="009805A7"/>
    <w:rsid w:val="00980842"/>
    <w:rsid w:val="00981AB5"/>
    <w:rsid w:val="0098343B"/>
    <w:rsid w:val="00983E11"/>
    <w:rsid w:val="00984441"/>
    <w:rsid w:val="009869C4"/>
    <w:rsid w:val="00987165"/>
    <w:rsid w:val="009877F8"/>
    <w:rsid w:val="00987967"/>
    <w:rsid w:val="00992AC8"/>
    <w:rsid w:val="00992ADB"/>
    <w:rsid w:val="0099403B"/>
    <w:rsid w:val="0099412B"/>
    <w:rsid w:val="00996387"/>
    <w:rsid w:val="00997017"/>
    <w:rsid w:val="00997F35"/>
    <w:rsid w:val="009A19ED"/>
    <w:rsid w:val="009A2424"/>
    <w:rsid w:val="009A3EF4"/>
    <w:rsid w:val="009A431B"/>
    <w:rsid w:val="009A47A8"/>
    <w:rsid w:val="009A4BBA"/>
    <w:rsid w:val="009A4C5D"/>
    <w:rsid w:val="009A4D2B"/>
    <w:rsid w:val="009A61C5"/>
    <w:rsid w:val="009A640B"/>
    <w:rsid w:val="009A74C8"/>
    <w:rsid w:val="009A7B31"/>
    <w:rsid w:val="009B0D34"/>
    <w:rsid w:val="009B1D26"/>
    <w:rsid w:val="009B1DC2"/>
    <w:rsid w:val="009B2144"/>
    <w:rsid w:val="009B3E5E"/>
    <w:rsid w:val="009B41FD"/>
    <w:rsid w:val="009B4573"/>
    <w:rsid w:val="009B4A41"/>
    <w:rsid w:val="009B4C70"/>
    <w:rsid w:val="009B5543"/>
    <w:rsid w:val="009B5A32"/>
    <w:rsid w:val="009B66FB"/>
    <w:rsid w:val="009B696A"/>
    <w:rsid w:val="009B6A97"/>
    <w:rsid w:val="009C063D"/>
    <w:rsid w:val="009C0650"/>
    <w:rsid w:val="009C0B96"/>
    <w:rsid w:val="009C1E1E"/>
    <w:rsid w:val="009C2446"/>
    <w:rsid w:val="009C3D2C"/>
    <w:rsid w:val="009C473A"/>
    <w:rsid w:val="009C51DD"/>
    <w:rsid w:val="009C604B"/>
    <w:rsid w:val="009C6087"/>
    <w:rsid w:val="009C68F5"/>
    <w:rsid w:val="009C6D8E"/>
    <w:rsid w:val="009C7149"/>
    <w:rsid w:val="009C79B2"/>
    <w:rsid w:val="009D0B65"/>
    <w:rsid w:val="009D1A85"/>
    <w:rsid w:val="009D216D"/>
    <w:rsid w:val="009D275C"/>
    <w:rsid w:val="009D3BCA"/>
    <w:rsid w:val="009D426F"/>
    <w:rsid w:val="009D496F"/>
    <w:rsid w:val="009D4FAC"/>
    <w:rsid w:val="009D6900"/>
    <w:rsid w:val="009D7017"/>
    <w:rsid w:val="009D793E"/>
    <w:rsid w:val="009D7997"/>
    <w:rsid w:val="009D7CF7"/>
    <w:rsid w:val="009E1455"/>
    <w:rsid w:val="009E191A"/>
    <w:rsid w:val="009E1BC0"/>
    <w:rsid w:val="009E2C40"/>
    <w:rsid w:val="009E3E0B"/>
    <w:rsid w:val="009E454F"/>
    <w:rsid w:val="009E5209"/>
    <w:rsid w:val="009E6D21"/>
    <w:rsid w:val="009E73CD"/>
    <w:rsid w:val="009E78C0"/>
    <w:rsid w:val="009E78C1"/>
    <w:rsid w:val="009E7C41"/>
    <w:rsid w:val="009F0870"/>
    <w:rsid w:val="009F0C13"/>
    <w:rsid w:val="009F0EFD"/>
    <w:rsid w:val="009F14BF"/>
    <w:rsid w:val="009F3705"/>
    <w:rsid w:val="009F5360"/>
    <w:rsid w:val="009F6067"/>
    <w:rsid w:val="00A008FD"/>
    <w:rsid w:val="00A0332E"/>
    <w:rsid w:val="00A0548A"/>
    <w:rsid w:val="00A067C6"/>
    <w:rsid w:val="00A07A73"/>
    <w:rsid w:val="00A1091A"/>
    <w:rsid w:val="00A10CD7"/>
    <w:rsid w:val="00A116D2"/>
    <w:rsid w:val="00A11FD2"/>
    <w:rsid w:val="00A12A4C"/>
    <w:rsid w:val="00A12D67"/>
    <w:rsid w:val="00A13048"/>
    <w:rsid w:val="00A14BEC"/>
    <w:rsid w:val="00A14E2C"/>
    <w:rsid w:val="00A1526D"/>
    <w:rsid w:val="00A15339"/>
    <w:rsid w:val="00A15FB7"/>
    <w:rsid w:val="00A164A0"/>
    <w:rsid w:val="00A20200"/>
    <w:rsid w:val="00A20ED3"/>
    <w:rsid w:val="00A22692"/>
    <w:rsid w:val="00A22837"/>
    <w:rsid w:val="00A25F94"/>
    <w:rsid w:val="00A31755"/>
    <w:rsid w:val="00A32CD9"/>
    <w:rsid w:val="00A33A63"/>
    <w:rsid w:val="00A40E44"/>
    <w:rsid w:val="00A418E9"/>
    <w:rsid w:val="00A445D8"/>
    <w:rsid w:val="00A44CF5"/>
    <w:rsid w:val="00A46241"/>
    <w:rsid w:val="00A4632E"/>
    <w:rsid w:val="00A47E44"/>
    <w:rsid w:val="00A50171"/>
    <w:rsid w:val="00A51B7A"/>
    <w:rsid w:val="00A52478"/>
    <w:rsid w:val="00A5333A"/>
    <w:rsid w:val="00A55492"/>
    <w:rsid w:val="00A57F91"/>
    <w:rsid w:val="00A63F17"/>
    <w:rsid w:val="00A643C0"/>
    <w:rsid w:val="00A64C95"/>
    <w:rsid w:val="00A64CB5"/>
    <w:rsid w:val="00A65E8D"/>
    <w:rsid w:val="00A66075"/>
    <w:rsid w:val="00A66D9C"/>
    <w:rsid w:val="00A70745"/>
    <w:rsid w:val="00A70B45"/>
    <w:rsid w:val="00A70D9D"/>
    <w:rsid w:val="00A7268C"/>
    <w:rsid w:val="00A7271D"/>
    <w:rsid w:val="00A73B27"/>
    <w:rsid w:val="00A74515"/>
    <w:rsid w:val="00A751D5"/>
    <w:rsid w:val="00A75376"/>
    <w:rsid w:val="00A75431"/>
    <w:rsid w:val="00A764C0"/>
    <w:rsid w:val="00A76B70"/>
    <w:rsid w:val="00A776EC"/>
    <w:rsid w:val="00A830C6"/>
    <w:rsid w:val="00A83F79"/>
    <w:rsid w:val="00A848EA"/>
    <w:rsid w:val="00A848F5"/>
    <w:rsid w:val="00A862BC"/>
    <w:rsid w:val="00A8754E"/>
    <w:rsid w:val="00A87644"/>
    <w:rsid w:val="00A87C65"/>
    <w:rsid w:val="00A91DD8"/>
    <w:rsid w:val="00A93FE6"/>
    <w:rsid w:val="00A96102"/>
    <w:rsid w:val="00AA14AA"/>
    <w:rsid w:val="00AA20BD"/>
    <w:rsid w:val="00AA31A8"/>
    <w:rsid w:val="00AA3A1A"/>
    <w:rsid w:val="00AA3C5B"/>
    <w:rsid w:val="00AA6173"/>
    <w:rsid w:val="00AA6BB3"/>
    <w:rsid w:val="00AA700C"/>
    <w:rsid w:val="00AB0EC7"/>
    <w:rsid w:val="00AB1B70"/>
    <w:rsid w:val="00AB2A64"/>
    <w:rsid w:val="00AB37FA"/>
    <w:rsid w:val="00AB45B0"/>
    <w:rsid w:val="00AB5F5E"/>
    <w:rsid w:val="00AB6E08"/>
    <w:rsid w:val="00AB7068"/>
    <w:rsid w:val="00AB7284"/>
    <w:rsid w:val="00AC0ED5"/>
    <w:rsid w:val="00AC1872"/>
    <w:rsid w:val="00AC4292"/>
    <w:rsid w:val="00AC48B3"/>
    <w:rsid w:val="00AC55AE"/>
    <w:rsid w:val="00AC5657"/>
    <w:rsid w:val="00AC6006"/>
    <w:rsid w:val="00AC6291"/>
    <w:rsid w:val="00AC631E"/>
    <w:rsid w:val="00AC7036"/>
    <w:rsid w:val="00AC7366"/>
    <w:rsid w:val="00AC7EF2"/>
    <w:rsid w:val="00AD0730"/>
    <w:rsid w:val="00AD1A67"/>
    <w:rsid w:val="00AD2457"/>
    <w:rsid w:val="00AD3847"/>
    <w:rsid w:val="00AD3B05"/>
    <w:rsid w:val="00AD3C29"/>
    <w:rsid w:val="00AD436A"/>
    <w:rsid w:val="00AD44E8"/>
    <w:rsid w:val="00AD4F49"/>
    <w:rsid w:val="00AD609C"/>
    <w:rsid w:val="00AD6CA1"/>
    <w:rsid w:val="00AD7CD9"/>
    <w:rsid w:val="00AE0779"/>
    <w:rsid w:val="00AE095E"/>
    <w:rsid w:val="00AE25B7"/>
    <w:rsid w:val="00AE5F32"/>
    <w:rsid w:val="00AE5FD4"/>
    <w:rsid w:val="00AF06D5"/>
    <w:rsid w:val="00AF0850"/>
    <w:rsid w:val="00AF10A5"/>
    <w:rsid w:val="00AF14A0"/>
    <w:rsid w:val="00AF195D"/>
    <w:rsid w:val="00AF2BEB"/>
    <w:rsid w:val="00AF3EB3"/>
    <w:rsid w:val="00AF40DD"/>
    <w:rsid w:val="00AF484F"/>
    <w:rsid w:val="00AF54E2"/>
    <w:rsid w:val="00AF6784"/>
    <w:rsid w:val="00B01E99"/>
    <w:rsid w:val="00B024E6"/>
    <w:rsid w:val="00B03F90"/>
    <w:rsid w:val="00B04285"/>
    <w:rsid w:val="00B05601"/>
    <w:rsid w:val="00B05699"/>
    <w:rsid w:val="00B058C3"/>
    <w:rsid w:val="00B05CA8"/>
    <w:rsid w:val="00B069FC"/>
    <w:rsid w:val="00B070FB"/>
    <w:rsid w:val="00B073B8"/>
    <w:rsid w:val="00B07B4D"/>
    <w:rsid w:val="00B10639"/>
    <w:rsid w:val="00B109D7"/>
    <w:rsid w:val="00B10EFB"/>
    <w:rsid w:val="00B12AEA"/>
    <w:rsid w:val="00B132AE"/>
    <w:rsid w:val="00B13B85"/>
    <w:rsid w:val="00B15B25"/>
    <w:rsid w:val="00B1635D"/>
    <w:rsid w:val="00B163B4"/>
    <w:rsid w:val="00B167C2"/>
    <w:rsid w:val="00B16B1B"/>
    <w:rsid w:val="00B175E7"/>
    <w:rsid w:val="00B17F87"/>
    <w:rsid w:val="00B20434"/>
    <w:rsid w:val="00B219A4"/>
    <w:rsid w:val="00B21E2D"/>
    <w:rsid w:val="00B225B6"/>
    <w:rsid w:val="00B22DAF"/>
    <w:rsid w:val="00B23AD7"/>
    <w:rsid w:val="00B23C3B"/>
    <w:rsid w:val="00B2560D"/>
    <w:rsid w:val="00B25B5F"/>
    <w:rsid w:val="00B25C69"/>
    <w:rsid w:val="00B262D9"/>
    <w:rsid w:val="00B2709F"/>
    <w:rsid w:val="00B27D48"/>
    <w:rsid w:val="00B30D99"/>
    <w:rsid w:val="00B3114B"/>
    <w:rsid w:val="00B33553"/>
    <w:rsid w:val="00B34541"/>
    <w:rsid w:val="00B351C2"/>
    <w:rsid w:val="00B3580D"/>
    <w:rsid w:val="00B35A49"/>
    <w:rsid w:val="00B35B38"/>
    <w:rsid w:val="00B365C8"/>
    <w:rsid w:val="00B36D36"/>
    <w:rsid w:val="00B36EE5"/>
    <w:rsid w:val="00B37EDC"/>
    <w:rsid w:val="00B402AA"/>
    <w:rsid w:val="00B40552"/>
    <w:rsid w:val="00B40EC1"/>
    <w:rsid w:val="00B4142C"/>
    <w:rsid w:val="00B41701"/>
    <w:rsid w:val="00B41D0C"/>
    <w:rsid w:val="00B422C3"/>
    <w:rsid w:val="00B423D5"/>
    <w:rsid w:val="00B42D71"/>
    <w:rsid w:val="00B46282"/>
    <w:rsid w:val="00B468F3"/>
    <w:rsid w:val="00B47465"/>
    <w:rsid w:val="00B4785F"/>
    <w:rsid w:val="00B47FB1"/>
    <w:rsid w:val="00B521B4"/>
    <w:rsid w:val="00B53C27"/>
    <w:rsid w:val="00B55317"/>
    <w:rsid w:val="00B55BBB"/>
    <w:rsid w:val="00B55CE9"/>
    <w:rsid w:val="00B561BC"/>
    <w:rsid w:val="00B57028"/>
    <w:rsid w:val="00B577AB"/>
    <w:rsid w:val="00B608DE"/>
    <w:rsid w:val="00B61C2A"/>
    <w:rsid w:val="00B62616"/>
    <w:rsid w:val="00B63EBA"/>
    <w:rsid w:val="00B6435F"/>
    <w:rsid w:val="00B65699"/>
    <w:rsid w:val="00B66C84"/>
    <w:rsid w:val="00B70026"/>
    <w:rsid w:val="00B701B5"/>
    <w:rsid w:val="00B7067E"/>
    <w:rsid w:val="00B7203E"/>
    <w:rsid w:val="00B72DC7"/>
    <w:rsid w:val="00B7465C"/>
    <w:rsid w:val="00B75EB3"/>
    <w:rsid w:val="00B767F2"/>
    <w:rsid w:val="00B8034B"/>
    <w:rsid w:val="00B809C0"/>
    <w:rsid w:val="00B81373"/>
    <w:rsid w:val="00B820D5"/>
    <w:rsid w:val="00B831A9"/>
    <w:rsid w:val="00B83857"/>
    <w:rsid w:val="00B8388D"/>
    <w:rsid w:val="00B858C0"/>
    <w:rsid w:val="00B86E29"/>
    <w:rsid w:val="00B9002D"/>
    <w:rsid w:val="00B91149"/>
    <w:rsid w:val="00B916E9"/>
    <w:rsid w:val="00B91A42"/>
    <w:rsid w:val="00B91D60"/>
    <w:rsid w:val="00B92446"/>
    <w:rsid w:val="00B94108"/>
    <w:rsid w:val="00B94832"/>
    <w:rsid w:val="00B950BE"/>
    <w:rsid w:val="00B9537C"/>
    <w:rsid w:val="00B9711E"/>
    <w:rsid w:val="00B977BF"/>
    <w:rsid w:val="00BA0F17"/>
    <w:rsid w:val="00BA12E1"/>
    <w:rsid w:val="00BA2038"/>
    <w:rsid w:val="00BA3938"/>
    <w:rsid w:val="00BA54FE"/>
    <w:rsid w:val="00BA5E6E"/>
    <w:rsid w:val="00BA64DE"/>
    <w:rsid w:val="00BA6763"/>
    <w:rsid w:val="00BA73EE"/>
    <w:rsid w:val="00BA76F8"/>
    <w:rsid w:val="00BA7831"/>
    <w:rsid w:val="00BB0786"/>
    <w:rsid w:val="00BB209F"/>
    <w:rsid w:val="00BB2577"/>
    <w:rsid w:val="00BB26A7"/>
    <w:rsid w:val="00BB316E"/>
    <w:rsid w:val="00BB3C87"/>
    <w:rsid w:val="00BB3D10"/>
    <w:rsid w:val="00BB454D"/>
    <w:rsid w:val="00BB6172"/>
    <w:rsid w:val="00BB7E0F"/>
    <w:rsid w:val="00BC15F4"/>
    <w:rsid w:val="00BC36AE"/>
    <w:rsid w:val="00BC371C"/>
    <w:rsid w:val="00BC3D2A"/>
    <w:rsid w:val="00BC4CC3"/>
    <w:rsid w:val="00BC4D43"/>
    <w:rsid w:val="00BC53CD"/>
    <w:rsid w:val="00BC5505"/>
    <w:rsid w:val="00BC57B8"/>
    <w:rsid w:val="00BC59A2"/>
    <w:rsid w:val="00BC6551"/>
    <w:rsid w:val="00BC6CA3"/>
    <w:rsid w:val="00BC7D93"/>
    <w:rsid w:val="00BD1507"/>
    <w:rsid w:val="00BD1DE7"/>
    <w:rsid w:val="00BD2651"/>
    <w:rsid w:val="00BD28C5"/>
    <w:rsid w:val="00BD537A"/>
    <w:rsid w:val="00BD5C45"/>
    <w:rsid w:val="00BD60C5"/>
    <w:rsid w:val="00BD645F"/>
    <w:rsid w:val="00BD6AAD"/>
    <w:rsid w:val="00BE2632"/>
    <w:rsid w:val="00BE3CE4"/>
    <w:rsid w:val="00BE482D"/>
    <w:rsid w:val="00BE57B5"/>
    <w:rsid w:val="00BE6C73"/>
    <w:rsid w:val="00BE75F0"/>
    <w:rsid w:val="00BE785A"/>
    <w:rsid w:val="00BE7EF9"/>
    <w:rsid w:val="00BF2B9A"/>
    <w:rsid w:val="00BF37E4"/>
    <w:rsid w:val="00BF44D0"/>
    <w:rsid w:val="00BF5747"/>
    <w:rsid w:val="00BF68DC"/>
    <w:rsid w:val="00BF6BAC"/>
    <w:rsid w:val="00BF75CD"/>
    <w:rsid w:val="00BF7E75"/>
    <w:rsid w:val="00C002DA"/>
    <w:rsid w:val="00C035D8"/>
    <w:rsid w:val="00C03C42"/>
    <w:rsid w:val="00C03E34"/>
    <w:rsid w:val="00C0477F"/>
    <w:rsid w:val="00C060EC"/>
    <w:rsid w:val="00C062D4"/>
    <w:rsid w:val="00C0634B"/>
    <w:rsid w:val="00C0635B"/>
    <w:rsid w:val="00C10075"/>
    <w:rsid w:val="00C118D1"/>
    <w:rsid w:val="00C11D23"/>
    <w:rsid w:val="00C1277A"/>
    <w:rsid w:val="00C13A9F"/>
    <w:rsid w:val="00C13B8D"/>
    <w:rsid w:val="00C151FA"/>
    <w:rsid w:val="00C15912"/>
    <w:rsid w:val="00C16B5D"/>
    <w:rsid w:val="00C170C0"/>
    <w:rsid w:val="00C20D15"/>
    <w:rsid w:val="00C2176D"/>
    <w:rsid w:val="00C22050"/>
    <w:rsid w:val="00C2279E"/>
    <w:rsid w:val="00C23B67"/>
    <w:rsid w:val="00C23BCC"/>
    <w:rsid w:val="00C245A1"/>
    <w:rsid w:val="00C25D75"/>
    <w:rsid w:val="00C26085"/>
    <w:rsid w:val="00C26442"/>
    <w:rsid w:val="00C2755F"/>
    <w:rsid w:val="00C30A82"/>
    <w:rsid w:val="00C31622"/>
    <w:rsid w:val="00C318EE"/>
    <w:rsid w:val="00C31AD7"/>
    <w:rsid w:val="00C31BDC"/>
    <w:rsid w:val="00C3255A"/>
    <w:rsid w:val="00C33B4C"/>
    <w:rsid w:val="00C3426F"/>
    <w:rsid w:val="00C35356"/>
    <w:rsid w:val="00C35D2B"/>
    <w:rsid w:val="00C35DA0"/>
    <w:rsid w:val="00C360CE"/>
    <w:rsid w:val="00C362B2"/>
    <w:rsid w:val="00C37118"/>
    <w:rsid w:val="00C3718C"/>
    <w:rsid w:val="00C37C83"/>
    <w:rsid w:val="00C41765"/>
    <w:rsid w:val="00C417BE"/>
    <w:rsid w:val="00C42534"/>
    <w:rsid w:val="00C42937"/>
    <w:rsid w:val="00C43056"/>
    <w:rsid w:val="00C440CF"/>
    <w:rsid w:val="00C46562"/>
    <w:rsid w:val="00C47272"/>
    <w:rsid w:val="00C47A3C"/>
    <w:rsid w:val="00C507C3"/>
    <w:rsid w:val="00C51B80"/>
    <w:rsid w:val="00C5239E"/>
    <w:rsid w:val="00C52468"/>
    <w:rsid w:val="00C52806"/>
    <w:rsid w:val="00C52EF6"/>
    <w:rsid w:val="00C52F1C"/>
    <w:rsid w:val="00C540B1"/>
    <w:rsid w:val="00C5417C"/>
    <w:rsid w:val="00C54C21"/>
    <w:rsid w:val="00C55E9C"/>
    <w:rsid w:val="00C5603A"/>
    <w:rsid w:val="00C56D9B"/>
    <w:rsid w:val="00C56FE1"/>
    <w:rsid w:val="00C57A5A"/>
    <w:rsid w:val="00C6135C"/>
    <w:rsid w:val="00C6240A"/>
    <w:rsid w:val="00C62ABB"/>
    <w:rsid w:val="00C639C9"/>
    <w:rsid w:val="00C63F9F"/>
    <w:rsid w:val="00C64CC6"/>
    <w:rsid w:val="00C708FF"/>
    <w:rsid w:val="00C7281D"/>
    <w:rsid w:val="00C73D19"/>
    <w:rsid w:val="00C74A65"/>
    <w:rsid w:val="00C76283"/>
    <w:rsid w:val="00C7773D"/>
    <w:rsid w:val="00C8006A"/>
    <w:rsid w:val="00C83995"/>
    <w:rsid w:val="00C83C81"/>
    <w:rsid w:val="00C83F47"/>
    <w:rsid w:val="00C8774E"/>
    <w:rsid w:val="00C90553"/>
    <w:rsid w:val="00C91B22"/>
    <w:rsid w:val="00C92116"/>
    <w:rsid w:val="00C9257F"/>
    <w:rsid w:val="00C93117"/>
    <w:rsid w:val="00C93B4F"/>
    <w:rsid w:val="00CA0FD4"/>
    <w:rsid w:val="00CA0FE1"/>
    <w:rsid w:val="00CA103D"/>
    <w:rsid w:val="00CA20C2"/>
    <w:rsid w:val="00CA24FF"/>
    <w:rsid w:val="00CA3F15"/>
    <w:rsid w:val="00CA477A"/>
    <w:rsid w:val="00CA4E3D"/>
    <w:rsid w:val="00CA5513"/>
    <w:rsid w:val="00CA5935"/>
    <w:rsid w:val="00CA6AC9"/>
    <w:rsid w:val="00CA6BB0"/>
    <w:rsid w:val="00CA6E9E"/>
    <w:rsid w:val="00CB00EC"/>
    <w:rsid w:val="00CB0578"/>
    <w:rsid w:val="00CB0E5A"/>
    <w:rsid w:val="00CB11BC"/>
    <w:rsid w:val="00CB33C4"/>
    <w:rsid w:val="00CB3609"/>
    <w:rsid w:val="00CB5847"/>
    <w:rsid w:val="00CB7C90"/>
    <w:rsid w:val="00CB7CC1"/>
    <w:rsid w:val="00CC004D"/>
    <w:rsid w:val="00CC15EA"/>
    <w:rsid w:val="00CC1CCC"/>
    <w:rsid w:val="00CC28D0"/>
    <w:rsid w:val="00CC2E49"/>
    <w:rsid w:val="00CC300D"/>
    <w:rsid w:val="00CC4894"/>
    <w:rsid w:val="00CC6E90"/>
    <w:rsid w:val="00CD0F0B"/>
    <w:rsid w:val="00CD1A2A"/>
    <w:rsid w:val="00CD1EBB"/>
    <w:rsid w:val="00CD33BA"/>
    <w:rsid w:val="00CD7519"/>
    <w:rsid w:val="00CD7ABC"/>
    <w:rsid w:val="00CE02DE"/>
    <w:rsid w:val="00CE0AA0"/>
    <w:rsid w:val="00CE0B5C"/>
    <w:rsid w:val="00CE0D96"/>
    <w:rsid w:val="00CE4170"/>
    <w:rsid w:val="00CE4AE1"/>
    <w:rsid w:val="00CE56B0"/>
    <w:rsid w:val="00CE57F6"/>
    <w:rsid w:val="00CE584A"/>
    <w:rsid w:val="00CF006B"/>
    <w:rsid w:val="00CF0B65"/>
    <w:rsid w:val="00CF25AA"/>
    <w:rsid w:val="00CF2E69"/>
    <w:rsid w:val="00CF4BE3"/>
    <w:rsid w:val="00CF58EC"/>
    <w:rsid w:val="00CF6998"/>
    <w:rsid w:val="00CF757E"/>
    <w:rsid w:val="00CF7B45"/>
    <w:rsid w:val="00D00018"/>
    <w:rsid w:val="00D003EB"/>
    <w:rsid w:val="00D01893"/>
    <w:rsid w:val="00D01D5B"/>
    <w:rsid w:val="00D02E54"/>
    <w:rsid w:val="00D0383B"/>
    <w:rsid w:val="00D03F90"/>
    <w:rsid w:val="00D03FD8"/>
    <w:rsid w:val="00D0514C"/>
    <w:rsid w:val="00D05653"/>
    <w:rsid w:val="00D07F9A"/>
    <w:rsid w:val="00D1159A"/>
    <w:rsid w:val="00D1703B"/>
    <w:rsid w:val="00D170F4"/>
    <w:rsid w:val="00D17EFA"/>
    <w:rsid w:val="00D204C9"/>
    <w:rsid w:val="00D209DD"/>
    <w:rsid w:val="00D20F3E"/>
    <w:rsid w:val="00D21611"/>
    <w:rsid w:val="00D21DAA"/>
    <w:rsid w:val="00D23355"/>
    <w:rsid w:val="00D240E2"/>
    <w:rsid w:val="00D24108"/>
    <w:rsid w:val="00D24639"/>
    <w:rsid w:val="00D24A82"/>
    <w:rsid w:val="00D24AB2"/>
    <w:rsid w:val="00D25A1C"/>
    <w:rsid w:val="00D25A78"/>
    <w:rsid w:val="00D269A0"/>
    <w:rsid w:val="00D26B78"/>
    <w:rsid w:val="00D26E94"/>
    <w:rsid w:val="00D27835"/>
    <w:rsid w:val="00D278AA"/>
    <w:rsid w:val="00D27BEE"/>
    <w:rsid w:val="00D27D8B"/>
    <w:rsid w:val="00D30839"/>
    <w:rsid w:val="00D3171B"/>
    <w:rsid w:val="00D37152"/>
    <w:rsid w:val="00D37D0B"/>
    <w:rsid w:val="00D40AAB"/>
    <w:rsid w:val="00D414F4"/>
    <w:rsid w:val="00D41DB2"/>
    <w:rsid w:val="00D42111"/>
    <w:rsid w:val="00D43008"/>
    <w:rsid w:val="00D44D87"/>
    <w:rsid w:val="00D46A29"/>
    <w:rsid w:val="00D470A0"/>
    <w:rsid w:val="00D502FE"/>
    <w:rsid w:val="00D50CBC"/>
    <w:rsid w:val="00D50D08"/>
    <w:rsid w:val="00D52043"/>
    <w:rsid w:val="00D531EF"/>
    <w:rsid w:val="00D5423F"/>
    <w:rsid w:val="00D55092"/>
    <w:rsid w:val="00D55768"/>
    <w:rsid w:val="00D55AE5"/>
    <w:rsid w:val="00D56EBA"/>
    <w:rsid w:val="00D576B0"/>
    <w:rsid w:val="00D577D2"/>
    <w:rsid w:val="00D601A7"/>
    <w:rsid w:val="00D617EC"/>
    <w:rsid w:val="00D628C0"/>
    <w:rsid w:val="00D63094"/>
    <w:rsid w:val="00D6317C"/>
    <w:rsid w:val="00D65FBB"/>
    <w:rsid w:val="00D666C2"/>
    <w:rsid w:val="00D66F92"/>
    <w:rsid w:val="00D67400"/>
    <w:rsid w:val="00D67823"/>
    <w:rsid w:val="00D67A88"/>
    <w:rsid w:val="00D67F10"/>
    <w:rsid w:val="00D703F2"/>
    <w:rsid w:val="00D70550"/>
    <w:rsid w:val="00D74C0E"/>
    <w:rsid w:val="00D767D0"/>
    <w:rsid w:val="00D76F1E"/>
    <w:rsid w:val="00D81FFE"/>
    <w:rsid w:val="00D8227D"/>
    <w:rsid w:val="00D82CC5"/>
    <w:rsid w:val="00D8305D"/>
    <w:rsid w:val="00D8360B"/>
    <w:rsid w:val="00D83F9A"/>
    <w:rsid w:val="00D84C31"/>
    <w:rsid w:val="00D84CAD"/>
    <w:rsid w:val="00D851C7"/>
    <w:rsid w:val="00D854F0"/>
    <w:rsid w:val="00D85877"/>
    <w:rsid w:val="00D902F1"/>
    <w:rsid w:val="00D91FEE"/>
    <w:rsid w:val="00D92DD6"/>
    <w:rsid w:val="00D941FB"/>
    <w:rsid w:val="00D942B9"/>
    <w:rsid w:val="00D94F96"/>
    <w:rsid w:val="00D953BD"/>
    <w:rsid w:val="00D95D34"/>
    <w:rsid w:val="00DA1A4D"/>
    <w:rsid w:val="00DA1BBA"/>
    <w:rsid w:val="00DA32B9"/>
    <w:rsid w:val="00DA355F"/>
    <w:rsid w:val="00DA3CA0"/>
    <w:rsid w:val="00DA6EAB"/>
    <w:rsid w:val="00DA70E5"/>
    <w:rsid w:val="00DA77E9"/>
    <w:rsid w:val="00DA7A87"/>
    <w:rsid w:val="00DB0336"/>
    <w:rsid w:val="00DB0B2D"/>
    <w:rsid w:val="00DB0FC2"/>
    <w:rsid w:val="00DB1296"/>
    <w:rsid w:val="00DB1809"/>
    <w:rsid w:val="00DB1FD2"/>
    <w:rsid w:val="00DB2562"/>
    <w:rsid w:val="00DB3055"/>
    <w:rsid w:val="00DB48C4"/>
    <w:rsid w:val="00DB4972"/>
    <w:rsid w:val="00DB74F5"/>
    <w:rsid w:val="00DC09D2"/>
    <w:rsid w:val="00DC0C98"/>
    <w:rsid w:val="00DC0CCC"/>
    <w:rsid w:val="00DC21CC"/>
    <w:rsid w:val="00DC3471"/>
    <w:rsid w:val="00DC3B46"/>
    <w:rsid w:val="00DC4085"/>
    <w:rsid w:val="00DC41D1"/>
    <w:rsid w:val="00DC4AED"/>
    <w:rsid w:val="00DC5083"/>
    <w:rsid w:val="00DC54CD"/>
    <w:rsid w:val="00DC596C"/>
    <w:rsid w:val="00DC5AEB"/>
    <w:rsid w:val="00DC717F"/>
    <w:rsid w:val="00DC7BBF"/>
    <w:rsid w:val="00DC7F8D"/>
    <w:rsid w:val="00DD124B"/>
    <w:rsid w:val="00DD1479"/>
    <w:rsid w:val="00DD2888"/>
    <w:rsid w:val="00DD32A2"/>
    <w:rsid w:val="00DD3B3E"/>
    <w:rsid w:val="00DD4EC9"/>
    <w:rsid w:val="00DD6DD2"/>
    <w:rsid w:val="00DD7226"/>
    <w:rsid w:val="00DE10CB"/>
    <w:rsid w:val="00DE1F64"/>
    <w:rsid w:val="00DE2600"/>
    <w:rsid w:val="00DE44AE"/>
    <w:rsid w:val="00DE4A5A"/>
    <w:rsid w:val="00DE7AF2"/>
    <w:rsid w:val="00DE7F27"/>
    <w:rsid w:val="00DF09B2"/>
    <w:rsid w:val="00DF3348"/>
    <w:rsid w:val="00DF3522"/>
    <w:rsid w:val="00DF382C"/>
    <w:rsid w:val="00DF41E7"/>
    <w:rsid w:val="00DF4A4E"/>
    <w:rsid w:val="00DF4CA2"/>
    <w:rsid w:val="00DF4D8E"/>
    <w:rsid w:val="00DF52B4"/>
    <w:rsid w:val="00DF5FEE"/>
    <w:rsid w:val="00DF681D"/>
    <w:rsid w:val="00DF69E1"/>
    <w:rsid w:val="00DF6E99"/>
    <w:rsid w:val="00E003FA"/>
    <w:rsid w:val="00E0121A"/>
    <w:rsid w:val="00E0122F"/>
    <w:rsid w:val="00E01311"/>
    <w:rsid w:val="00E01639"/>
    <w:rsid w:val="00E01FE1"/>
    <w:rsid w:val="00E02B65"/>
    <w:rsid w:val="00E02E18"/>
    <w:rsid w:val="00E02E2C"/>
    <w:rsid w:val="00E0362E"/>
    <w:rsid w:val="00E04D62"/>
    <w:rsid w:val="00E06AB0"/>
    <w:rsid w:val="00E0769F"/>
    <w:rsid w:val="00E07DC2"/>
    <w:rsid w:val="00E11093"/>
    <w:rsid w:val="00E12D06"/>
    <w:rsid w:val="00E13348"/>
    <w:rsid w:val="00E13F2B"/>
    <w:rsid w:val="00E14033"/>
    <w:rsid w:val="00E141C4"/>
    <w:rsid w:val="00E14AF3"/>
    <w:rsid w:val="00E158E2"/>
    <w:rsid w:val="00E1666D"/>
    <w:rsid w:val="00E16BD3"/>
    <w:rsid w:val="00E1764F"/>
    <w:rsid w:val="00E20320"/>
    <w:rsid w:val="00E2375C"/>
    <w:rsid w:val="00E23D15"/>
    <w:rsid w:val="00E2454C"/>
    <w:rsid w:val="00E2614C"/>
    <w:rsid w:val="00E26EC9"/>
    <w:rsid w:val="00E27E5C"/>
    <w:rsid w:val="00E30AA2"/>
    <w:rsid w:val="00E31389"/>
    <w:rsid w:val="00E32106"/>
    <w:rsid w:val="00E32984"/>
    <w:rsid w:val="00E32993"/>
    <w:rsid w:val="00E330DA"/>
    <w:rsid w:val="00E339AE"/>
    <w:rsid w:val="00E34665"/>
    <w:rsid w:val="00E34D8E"/>
    <w:rsid w:val="00E36CFE"/>
    <w:rsid w:val="00E36DA9"/>
    <w:rsid w:val="00E40985"/>
    <w:rsid w:val="00E41080"/>
    <w:rsid w:val="00E415BE"/>
    <w:rsid w:val="00E417B6"/>
    <w:rsid w:val="00E41D2F"/>
    <w:rsid w:val="00E42438"/>
    <w:rsid w:val="00E4343F"/>
    <w:rsid w:val="00E435AD"/>
    <w:rsid w:val="00E43AC3"/>
    <w:rsid w:val="00E44500"/>
    <w:rsid w:val="00E448D5"/>
    <w:rsid w:val="00E44AAA"/>
    <w:rsid w:val="00E44EF4"/>
    <w:rsid w:val="00E44F90"/>
    <w:rsid w:val="00E45036"/>
    <w:rsid w:val="00E4557D"/>
    <w:rsid w:val="00E47FCB"/>
    <w:rsid w:val="00E501E6"/>
    <w:rsid w:val="00E50215"/>
    <w:rsid w:val="00E5177E"/>
    <w:rsid w:val="00E54B6C"/>
    <w:rsid w:val="00E54C16"/>
    <w:rsid w:val="00E56122"/>
    <w:rsid w:val="00E5756A"/>
    <w:rsid w:val="00E60A86"/>
    <w:rsid w:val="00E61D30"/>
    <w:rsid w:val="00E61EB0"/>
    <w:rsid w:val="00E6268C"/>
    <w:rsid w:val="00E63021"/>
    <w:rsid w:val="00E64486"/>
    <w:rsid w:val="00E677B2"/>
    <w:rsid w:val="00E70D56"/>
    <w:rsid w:val="00E71906"/>
    <w:rsid w:val="00E71991"/>
    <w:rsid w:val="00E72FD5"/>
    <w:rsid w:val="00E731B4"/>
    <w:rsid w:val="00E736B1"/>
    <w:rsid w:val="00E740F9"/>
    <w:rsid w:val="00E74903"/>
    <w:rsid w:val="00E76053"/>
    <w:rsid w:val="00E76083"/>
    <w:rsid w:val="00E7659A"/>
    <w:rsid w:val="00E77149"/>
    <w:rsid w:val="00E77917"/>
    <w:rsid w:val="00E80382"/>
    <w:rsid w:val="00E81446"/>
    <w:rsid w:val="00E81900"/>
    <w:rsid w:val="00E81A15"/>
    <w:rsid w:val="00E82442"/>
    <w:rsid w:val="00E82A44"/>
    <w:rsid w:val="00E82B6B"/>
    <w:rsid w:val="00E82EEF"/>
    <w:rsid w:val="00E83C71"/>
    <w:rsid w:val="00E84184"/>
    <w:rsid w:val="00E84BD8"/>
    <w:rsid w:val="00E85246"/>
    <w:rsid w:val="00E866AF"/>
    <w:rsid w:val="00E87A53"/>
    <w:rsid w:val="00E87B18"/>
    <w:rsid w:val="00E87D82"/>
    <w:rsid w:val="00E9160C"/>
    <w:rsid w:val="00E919B6"/>
    <w:rsid w:val="00E922DA"/>
    <w:rsid w:val="00E92AB6"/>
    <w:rsid w:val="00E931AC"/>
    <w:rsid w:val="00E9343F"/>
    <w:rsid w:val="00E95C10"/>
    <w:rsid w:val="00E97480"/>
    <w:rsid w:val="00E97A25"/>
    <w:rsid w:val="00EA06B4"/>
    <w:rsid w:val="00EA0BCB"/>
    <w:rsid w:val="00EA1C7F"/>
    <w:rsid w:val="00EA1E85"/>
    <w:rsid w:val="00EA219A"/>
    <w:rsid w:val="00EA31D8"/>
    <w:rsid w:val="00EA33DC"/>
    <w:rsid w:val="00EA4963"/>
    <w:rsid w:val="00EA6B49"/>
    <w:rsid w:val="00EA7160"/>
    <w:rsid w:val="00EA7D06"/>
    <w:rsid w:val="00EA7DAD"/>
    <w:rsid w:val="00EB02F2"/>
    <w:rsid w:val="00EB0502"/>
    <w:rsid w:val="00EB0555"/>
    <w:rsid w:val="00EB2AFF"/>
    <w:rsid w:val="00EB35A7"/>
    <w:rsid w:val="00EB5BBB"/>
    <w:rsid w:val="00EB6614"/>
    <w:rsid w:val="00EB7D60"/>
    <w:rsid w:val="00EB7E61"/>
    <w:rsid w:val="00EC04A7"/>
    <w:rsid w:val="00EC0620"/>
    <w:rsid w:val="00EC08BF"/>
    <w:rsid w:val="00EC160A"/>
    <w:rsid w:val="00EC1617"/>
    <w:rsid w:val="00EC2E88"/>
    <w:rsid w:val="00EC4D31"/>
    <w:rsid w:val="00EC523A"/>
    <w:rsid w:val="00EC5A4F"/>
    <w:rsid w:val="00EC679D"/>
    <w:rsid w:val="00EC70DC"/>
    <w:rsid w:val="00ED0166"/>
    <w:rsid w:val="00ED0275"/>
    <w:rsid w:val="00ED1066"/>
    <w:rsid w:val="00ED1218"/>
    <w:rsid w:val="00ED16B1"/>
    <w:rsid w:val="00ED19F1"/>
    <w:rsid w:val="00ED2418"/>
    <w:rsid w:val="00ED29A6"/>
    <w:rsid w:val="00ED3811"/>
    <w:rsid w:val="00ED4483"/>
    <w:rsid w:val="00ED4871"/>
    <w:rsid w:val="00ED4FEE"/>
    <w:rsid w:val="00ED5252"/>
    <w:rsid w:val="00ED5410"/>
    <w:rsid w:val="00ED5874"/>
    <w:rsid w:val="00EE0069"/>
    <w:rsid w:val="00EE1923"/>
    <w:rsid w:val="00EE1CE6"/>
    <w:rsid w:val="00EE1E14"/>
    <w:rsid w:val="00EE2523"/>
    <w:rsid w:val="00EE36E7"/>
    <w:rsid w:val="00EE3782"/>
    <w:rsid w:val="00EE3B7A"/>
    <w:rsid w:val="00EE41EC"/>
    <w:rsid w:val="00EE4546"/>
    <w:rsid w:val="00EE4F4F"/>
    <w:rsid w:val="00EE5B9F"/>
    <w:rsid w:val="00EE697A"/>
    <w:rsid w:val="00EE7333"/>
    <w:rsid w:val="00EE7441"/>
    <w:rsid w:val="00EF042A"/>
    <w:rsid w:val="00EF05DE"/>
    <w:rsid w:val="00EF0D9A"/>
    <w:rsid w:val="00EF1003"/>
    <w:rsid w:val="00EF1393"/>
    <w:rsid w:val="00EF1936"/>
    <w:rsid w:val="00EF1A97"/>
    <w:rsid w:val="00EF240D"/>
    <w:rsid w:val="00EF2C49"/>
    <w:rsid w:val="00EF3D25"/>
    <w:rsid w:val="00EF3FD0"/>
    <w:rsid w:val="00EF6C5C"/>
    <w:rsid w:val="00EF77EA"/>
    <w:rsid w:val="00EF7C0E"/>
    <w:rsid w:val="00F01CC7"/>
    <w:rsid w:val="00F039C6"/>
    <w:rsid w:val="00F03FEE"/>
    <w:rsid w:val="00F04FDF"/>
    <w:rsid w:val="00F0532A"/>
    <w:rsid w:val="00F055C5"/>
    <w:rsid w:val="00F055CA"/>
    <w:rsid w:val="00F0606A"/>
    <w:rsid w:val="00F06147"/>
    <w:rsid w:val="00F07D9D"/>
    <w:rsid w:val="00F11129"/>
    <w:rsid w:val="00F1135D"/>
    <w:rsid w:val="00F11375"/>
    <w:rsid w:val="00F11387"/>
    <w:rsid w:val="00F1160A"/>
    <w:rsid w:val="00F11C30"/>
    <w:rsid w:val="00F11E6D"/>
    <w:rsid w:val="00F12A8C"/>
    <w:rsid w:val="00F146C0"/>
    <w:rsid w:val="00F153DA"/>
    <w:rsid w:val="00F16966"/>
    <w:rsid w:val="00F16B49"/>
    <w:rsid w:val="00F1725A"/>
    <w:rsid w:val="00F20825"/>
    <w:rsid w:val="00F2189E"/>
    <w:rsid w:val="00F23A5F"/>
    <w:rsid w:val="00F248BA"/>
    <w:rsid w:val="00F257B8"/>
    <w:rsid w:val="00F30C6A"/>
    <w:rsid w:val="00F30D3B"/>
    <w:rsid w:val="00F32503"/>
    <w:rsid w:val="00F34BCA"/>
    <w:rsid w:val="00F34EB6"/>
    <w:rsid w:val="00F35861"/>
    <w:rsid w:val="00F35BC4"/>
    <w:rsid w:val="00F36713"/>
    <w:rsid w:val="00F37826"/>
    <w:rsid w:val="00F4122A"/>
    <w:rsid w:val="00F42149"/>
    <w:rsid w:val="00F426A4"/>
    <w:rsid w:val="00F43AEF"/>
    <w:rsid w:val="00F443E2"/>
    <w:rsid w:val="00F44B8E"/>
    <w:rsid w:val="00F44BE1"/>
    <w:rsid w:val="00F45466"/>
    <w:rsid w:val="00F4566C"/>
    <w:rsid w:val="00F45FD4"/>
    <w:rsid w:val="00F47F59"/>
    <w:rsid w:val="00F5062A"/>
    <w:rsid w:val="00F50AF5"/>
    <w:rsid w:val="00F51A6C"/>
    <w:rsid w:val="00F53899"/>
    <w:rsid w:val="00F538A5"/>
    <w:rsid w:val="00F54C87"/>
    <w:rsid w:val="00F60F65"/>
    <w:rsid w:val="00F61473"/>
    <w:rsid w:val="00F62D40"/>
    <w:rsid w:val="00F63B0E"/>
    <w:rsid w:val="00F63FCE"/>
    <w:rsid w:val="00F64F3A"/>
    <w:rsid w:val="00F6572A"/>
    <w:rsid w:val="00F658CB"/>
    <w:rsid w:val="00F6654F"/>
    <w:rsid w:val="00F66EA5"/>
    <w:rsid w:val="00F67078"/>
    <w:rsid w:val="00F670D6"/>
    <w:rsid w:val="00F673F3"/>
    <w:rsid w:val="00F675C2"/>
    <w:rsid w:val="00F67CAF"/>
    <w:rsid w:val="00F703C8"/>
    <w:rsid w:val="00F70F8F"/>
    <w:rsid w:val="00F71F2A"/>
    <w:rsid w:val="00F760A1"/>
    <w:rsid w:val="00F802C2"/>
    <w:rsid w:val="00F80852"/>
    <w:rsid w:val="00F81485"/>
    <w:rsid w:val="00F81546"/>
    <w:rsid w:val="00F8215E"/>
    <w:rsid w:val="00F83450"/>
    <w:rsid w:val="00F8593A"/>
    <w:rsid w:val="00F85F6A"/>
    <w:rsid w:val="00F862DE"/>
    <w:rsid w:val="00F865F9"/>
    <w:rsid w:val="00F87A95"/>
    <w:rsid w:val="00F9019D"/>
    <w:rsid w:val="00F90817"/>
    <w:rsid w:val="00F90B8A"/>
    <w:rsid w:val="00F94977"/>
    <w:rsid w:val="00F94BAA"/>
    <w:rsid w:val="00F95300"/>
    <w:rsid w:val="00F95341"/>
    <w:rsid w:val="00F954C6"/>
    <w:rsid w:val="00F9606F"/>
    <w:rsid w:val="00F962C5"/>
    <w:rsid w:val="00F97CD4"/>
    <w:rsid w:val="00FA1BEC"/>
    <w:rsid w:val="00FA26CA"/>
    <w:rsid w:val="00FA3025"/>
    <w:rsid w:val="00FA3324"/>
    <w:rsid w:val="00FA41BE"/>
    <w:rsid w:val="00FA74F4"/>
    <w:rsid w:val="00FA7D71"/>
    <w:rsid w:val="00FB05AA"/>
    <w:rsid w:val="00FB1346"/>
    <w:rsid w:val="00FB1348"/>
    <w:rsid w:val="00FB1649"/>
    <w:rsid w:val="00FB1C70"/>
    <w:rsid w:val="00FB3167"/>
    <w:rsid w:val="00FB4082"/>
    <w:rsid w:val="00FB49B3"/>
    <w:rsid w:val="00FB5CFC"/>
    <w:rsid w:val="00FB66C5"/>
    <w:rsid w:val="00FB7507"/>
    <w:rsid w:val="00FC0852"/>
    <w:rsid w:val="00FC1B54"/>
    <w:rsid w:val="00FC1D33"/>
    <w:rsid w:val="00FC2B4E"/>
    <w:rsid w:val="00FC57EA"/>
    <w:rsid w:val="00FC66C7"/>
    <w:rsid w:val="00FC6B8C"/>
    <w:rsid w:val="00FC7FCF"/>
    <w:rsid w:val="00FD0659"/>
    <w:rsid w:val="00FD0A50"/>
    <w:rsid w:val="00FD0D44"/>
    <w:rsid w:val="00FD1230"/>
    <w:rsid w:val="00FD1C72"/>
    <w:rsid w:val="00FD286A"/>
    <w:rsid w:val="00FD30FC"/>
    <w:rsid w:val="00FD328F"/>
    <w:rsid w:val="00FD363B"/>
    <w:rsid w:val="00FD54CD"/>
    <w:rsid w:val="00FD5E37"/>
    <w:rsid w:val="00FD6EAE"/>
    <w:rsid w:val="00FD724B"/>
    <w:rsid w:val="00FE01BB"/>
    <w:rsid w:val="00FE01CC"/>
    <w:rsid w:val="00FE050E"/>
    <w:rsid w:val="00FE06E3"/>
    <w:rsid w:val="00FE112A"/>
    <w:rsid w:val="00FE11D2"/>
    <w:rsid w:val="00FE2E5C"/>
    <w:rsid w:val="00FE3357"/>
    <w:rsid w:val="00FE349D"/>
    <w:rsid w:val="00FE4096"/>
    <w:rsid w:val="00FE428F"/>
    <w:rsid w:val="00FE5231"/>
    <w:rsid w:val="00FE6584"/>
    <w:rsid w:val="00FE71A4"/>
    <w:rsid w:val="00FE7838"/>
    <w:rsid w:val="00FF0039"/>
    <w:rsid w:val="00FF05A1"/>
    <w:rsid w:val="00FF16CB"/>
    <w:rsid w:val="00FF307C"/>
    <w:rsid w:val="00FF35C0"/>
    <w:rsid w:val="00FF45D0"/>
    <w:rsid w:val="00FF4A60"/>
    <w:rsid w:val="00FF4FD6"/>
    <w:rsid w:val="00FF51C4"/>
    <w:rsid w:val="00FF5D44"/>
    <w:rsid w:val="00FF67CD"/>
    <w:rsid w:val="00FF7232"/>
    <w:rsid w:val="00FF7456"/>
    <w:rsid w:val="16D43AC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qFormat="1" w:uiPriority="39" w:semiHidden="0" w:name="toc 3"/>
    <w:lsdException w:uiPriority="39" w:semiHidden="0" w:name="toc 4"/>
    <w:lsdException w:uiPriority="39" w:semiHidden="0" w:name="toc 5"/>
    <w:lsdException w:uiPriority="39" w:semiHidden="0" w:name="toc 6"/>
    <w:lsdException w:uiPriority="39" w:semiHidden="0" w:name="toc 7"/>
    <w:lsdException w:qFormat="1" w:uiPriority="39" w:semiHidden="0" w:name="toc 8"/>
    <w:lsdException w:uiPriority="39" w:semiHidden="0" w:name="toc 9"/>
    <w:lsdException w:uiPriority="99" w:name="Normal Indent"/>
    <w:lsdException w:uiPriority="99" w:semiHidden="0" w:name="footnote text"/>
    <w:lsdException w:uiPriority="0" w:semiHidden="0" w:name="annotation text"/>
    <w:lsdException w:qFormat="1" w:uiPriority="0"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2"/>
      <w:lang w:val="en-US" w:eastAsia="zh-CN" w:bidi="ar-SA"/>
    </w:rPr>
  </w:style>
  <w:style w:type="paragraph" w:styleId="2">
    <w:name w:val="heading 1"/>
    <w:basedOn w:val="1"/>
    <w:next w:val="1"/>
    <w:link w:val="3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7"/>
    <w:unhideWhenUsed/>
    <w:qFormat/>
    <w:uiPriority w:val="9"/>
    <w:pPr>
      <w:keepNext/>
      <w:keepLines/>
      <w:spacing w:before="260" w:after="260" w:line="416" w:lineRule="auto"/>
      <w:outlineLvl w:val="2"/>
    </w:pPr>
    <w:rPr>
      <w:b/>
      <w:bCs/>
      <w:sz w:val="32"/>
      <w:szCs w:val="32"/>
    </w:rPr>
  </w:style>
  <w:style w:type="paragraph" w:styleId="5">
    <w:name w:val="heading 5"/>
    <w:basedOn w:val="1"/>
    <w:next w:val="1"/>
    <w:link w:val="38"/>
    <w:qFormat/>
    <w:uiPriority w:val="0"/>
    <w:pPr>
      <w:keepNext/>
      <w:keepLines/>
      <w:spacing w:beforeLines="50" w:line="360" w:lineRule="auto"/>
      <w:ind w:firstLine="200" w:firstLineChars="200"/>
      <w:jc w:val="left"/>
      <w:outlineLvl w:val="4"/>
    </w:pPr>
    <w:rPr>
      <w:rFonts w:ascii="Times New Roman" w:hAnsi="Times New Roman" w:eastAsia="宋体" w:cs="Times New Roman"/>
      <w:b/>
      <w:bCs/>
      <w:sz w:val="28"/>
      <w:szCs w:val="28"/>
    </w:rPr>
  </w:style>
  <w:style w:type="character" w:default="1" w:styleId="26">
    <w:name w:val="Default Paragraph Font"/>
    <w:unhideWhenUsed/>
    <w:uiPriority w:val="1"/>
  </w:style>
  <w:style w:type="table" w:default="1" w:styleId="32">
    <w:name w:val="Normal Table"/>
    <w:unhideWhenUsed/>
    <w:qFormat/>
    <w:uiPriority w:val="99"/>
    <w:tblPr>
      <w:tblLayout w:type="fixed"/>
      <w:tblCellMar>
        <w:top w:w="0" w:type="dxa"/>
        <w:left w:w="108" w:type="dxa"/>
        <w:bottom w:w="0" w:type="dxa"/>
        <w:right w:w="108" w:type="dxa"/>
      </w:tblCellMar>
    </w:tblPr>
  </w:style>
  <w:style w:type="paragraph" w:styleId="6">
    <w:name w:val="annotation subject"/>
    <w:basedOn w:val="7"/>
    <w:next w:val="7"/>
    <w:link w:val="74"/>
    <w:uiPriority w:val="0"/>
    <w:pPr>
      <w:ind w:firstLine="0" w:firstLineChars="0"/>
    </w:pPr>
    <w:rPr>
      <w:rFonts w:ascii="Calibri" w:hAnsi="Calibri"/>
      <w:b/>
      <w:bCs/>
    </w:rPr>
  </w:style>
  <w:style w:type="paragraph" w:styleId="7">
    <w:name w:val="annotation text"/>
    <w:basedOn w:val="1"/>
    <w:link w:val="64"/>
    <w:unhideWhenUsed/>
    <w:uiPriority w:val="0"/>
    <w:pPr>
      <w:spacing w:line="360" w:lineRule="auto"/>
      <w:ind w:firstLine="200" w:firstLineChars="200"/>
      <w:jc w:val="left"/>
    </w:pPr>
    <w:rPr>
      <w:rFonts w:ascii="Times New Roman" w:hAnsi="Times New Roman" w:eastAsia="宋体" w:cs="Times New Roman"/>
    </w:rPr>
  </w:style>
  <w:style w:type="paragraph" w:styleId="8">
    <w:name w:val="toc 7"/>
    <w:basedOn w:val="1"/>
    <w:next w:val="1"/>
    <w:unhideWhenUsed/>
    <w:uiPriority w:val="39"/>
    <w:pPr>
      <w:ind w:left="1260"/>
      <w:jc w:val="left"/>
    </w:pPr>
    <w:rPr>
      <w:sz w:val="18"/>
      <w:szCs w:val="18"/>
    </w:rPr>
  </w:style>
  <w:style w:type="paragraph" w:styleId="9">
    <w:name w:val="caption"/>
    <w:basedOn w:val="1"/>
    <w:next w:val="1"/>
    <w:unhideWhenUsed/>
    <w:qFormat/>
    <w:uiPriority w:val="35"/>
    <w:rPr>
      <w:rFonts w:eastAsia="黑体" w:asciiTheme="majorHAnsi" w:hAnsiTheme="majorHAnsi" w:cstheme="majorBidi"/>
      <w:sz w:val="20"/>
      <w:szCs w:val="20"/>
    </w:rPr>
  </w:style>
  <w:style w:type="paragraph" w:styleId="10">
    <w:name w:val="Document Map"/>
    <w:basedOn w:val="1"/>
    <w:link w:val="43"/>
    <w:unhideWhenUsed/>
    <w:uiPriority w:val="99"/>
    <w:rPr>
      <w:rFonts w:ascii="宋体" w:eastAsia="宋体"/>
      <w:sz w:val="18"/>
      <w:szCs w:val="18"/>
    </w:rPr>
  </w:style>
  <w:style w:type="paragraph" w:styleId="11">
    <w:name w:val="toc 5"/>
    <w:basedOn w:val="1"/>
    <w:next w:val="1"/>
    <w:unhideWhenUsed/>
    <w:uiPriority w:val="39"/>
    <w:pPr>
      <w:ind w:left="840"/>
      <w:jc w:val="left"/>
    </w:pPr>
    <w:rPr>
      <w:sz w:val="18"/>
      <w:szCs w:val="18"/>
    </w:rPr>
  </w:style>
  <w:style w:type="paragraph" w:styleId="12">
    <w:name w:val="toc 3"/>
    <w:basedOn w:val="1"/>
    <w:next w:val="1"/>
    <w:unhideWhenUsed/>
    <w:qFormat/>
    <w:uiPriority w:val="39"/>
    <w:pPr>
      <w:tabs>
        <w:tab w:val="left" w:pos="709"/>
        <w:tab w:val="right" w:leader="dot" w:pos="9628"/>
      </w:tabs>
      <w:ind w:left="1343" w:leftChars="402" w:hanging="499" w:hangingChars="277"/>
      <w:jc w:val="left"/>
    </w:pPr>
    <w:rPr>
      <w:iCs/>
      <w:sz w:val="18"/>
      <w:szCs w:val="18"/>
    </w:rPr>
  </w:style>
  <w:style w:type="paragraph" w:styleId="13">
    <w:name w:val="toc 8"/>
    <w:basedOn w:val="1"/>
    <w:next w:val="1"/>
    <w:unhideWhenUsed/>
    <w:qFormat/>
    <w:uiPriority w:val="39"/>
    <w:pPr>
      <w:ind w:left="1470"/>
      <w:jc w:val="left"/>
    </w:pPr>
    <w:rPr>
      <w:sz w:val="18"/>
      <w:szCs w:val="18"/>
    </w:rPr>
  </w:style>
  <w:style w:type="paragraph" w:styleId="14">
    <w:name w:val="Date"/>
    <w:basedOn w:val="1"/>
    <w:next w:val="1"/>
    <w:link w:val="66"/>
    <w:unhideWhenUsed/>
    <w:qFormat/>
    <w:uiPriority w:val="99"/>
    <w:pPr>
      <w:ind w:left="100" w:leftChars="2500"/>
    </w:pPr>
  </w:style>
  <w:style w:type="paragraph" w:styleId="15">
    <w:name w:val="Balloon Text"/>
    <w:basedOn w:val="1"/>
    <w:link w:val="59"/>
    <w:unhideWhenUsed/>
    <w:uiPriority w:val="0"/>
    <w:rPr>
      <w:sz w:val="18"/>
      <w:szCs w:val="18"/>
    </w:rPr>
  </w:style>
  <w:style w:type="paragraph" w:styleId="16">
    <w:name w:val="footer"/>
    <w:basedOn w:val="1"/>
    <w:link w:val="40"/>
    <w:unhideWhenUsed/>
    <w:uiPriority w:val="99"/>
    <w:pPr>
      <w:tabs>
        <w:tab w:val="center" w:pos="4153"/>
        <w:tab w:val="right" w:pos="8306"/>
      </w:tabs>
      <w:snapToGrid w:val="0"/>
      <w:jc w:val="left"/>
    </w:pPr>
    <w:rPr>
      <w:sz w:val="18"/>
      <w:szCs w:val="18"/>
    </w:rPr>
  </w:style>
  <w:style w:type="paragraph" w:styleId="17">
    <w:name w:val="header"/>
    <w:basedOn w:val="1"/>
    <w:link w:val="39"/>
    <w:unhideWhenUsed/>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uiPriority w:val="39"/>
    <w:pPr>
      <w:tabs>
        <w:tab w:val="right" w:leader="dot" w:pos="9628"/>
      </w:tabs>
      <w:spacing w:before="120" w:after="120"/>
      <w:jc w:val="left"/>
    </w:pPr>
    <w:rPr>
      <w:b/>
      <w:bCs/>
      <w:caps/>
      <w:szCs w:val="24"/>
    </w:rPr>
  </w:style>
  <w:style w:type="paragraph" w:styleId="19">
    <w:name w:val="toc 4"/>
    <w:basedOn w:val="1"/>
    <w:next w:val="1"/>
    <w:unhideWhenUsed/>
    <w:uiPriority w:val="39"/>
    <w:pPr>
      <w:ind w:left="600" w:leftChars="600"/>
      <w:jc w:val="left"/>
    </w:pPr>
    <w:rPr>
      <w:sz w:val="18"/>
      <w:szCs w:val="18"/>
    </w:rPr>
  </w:style>
  <w:style w:type="paragraph" w:styleId="20">
    <w:name w:val="Subtitle"/>
    <w:basedOn w:val="1"/>
    <w:next w:val="1"/>
    <w:link w:val="89"/>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21">
    <w:name w:val="footnote text"/>
    <w:basedOn w:val="1"/>
    <w:link w:val="72"/>
    <w:unhideWhenUsed/>
    <w:uiPriority w:val="99"/>
    <w:pPr>
      <w:snapToGrid w:val="0"/>
      <w:jc w:val="left"/>
    </w:pPr>
    <w:rPr>
      <w:sz w:val="18"/>
      <w:szCs w:val="18"/>
    </w:rPr>
  </w:style>
  <w:style w:type="paragraph" w:styleId="22">
    <w:name w:val="toc 6"/>
    <w:basedOn w:val="1"/>
    <w:next w:val="1"/>
    <w:unhideWhenUsed/>
    <w:uiPriority w:val="39"/>
    <w:pPr>
      <w:ind w:left="1050"/>
      <w:jc w:val="left"/>
    </w:pPr>
    <w:rPr>
      <w:sz w:val="18"/>
      <w:szCs w:val="18"/>
    </w:rPr>
  </w:style>
  <w:style w:type="paragraph" w:styleId="23">
    <w:name w:val="toc 2"/>
    <w:basedOn w:val="1"/>
    <w:next w:val="1"/>
    <w:unhideWhenUsed/>
    <w:uiPriority w:val="39"/>
    <w:pPr>
      <w:tabs>
        <w:tab w:val="right" w:leader="dot" w:pos="9628"/>
      </w:tabs>
      <w:ind w:left="426"/>
      <w:jc w:val="left"/>
    </w:pPr>
    <w:rPr>
      <w:b/>
      <w:smallCaps/>
      <w:szCs w:val="21"/>
    </w:rPr>
  </w:style>
  <w:style w:type="paragraph" w:styleId="24">
    <w:name w:val="toc 9"/>
    <w:basedOn w:val="1"/>
    <w:next w:val="1"/>
    <w:unhideWhenUsed/>
    <w:uiPriority w:val="39"/>
    <w:pPr>
      <w:ind w:left="1680"/>
      <w:jc w:val="left"/>
    </w:pPr>
    <w:rPr>
      <w:sz w:val="18"/>
      <w:szCs w:val="18"/>
    </w:rPr>
  </w:style>
  <w:style w:type="paragraph" w:styleId="25">
    <w:name w:val="Normal (Web)"/>
    <w:basedOn w:val="1"/>
    <w:unhideWhenUsed/>
    <w:uiPriority w:val="99"/>
    <w:pPr>
      <w:widowControl/>
      <w:spacing w:before="100" w:beforeAutospacing="1" w:after="100" w:afterAutospacing="1"/>
      <w:jc w:val="left"/>
    </w:pPr>
    <w:rPr>
      <w:rFonts w:ascii="宋体" w:hAnsi="宋体" w:eastAsia="宋体" w:cs="宋体"/>
      <w:kern w:val="0"/>
      <w:szCs w:val="24"/>
    </w:rPr>
  </w:style>
  <w:style w:type="character" w:styleId="27">
    <w:name w:val="FollowedHyperlink"/>
    <w:basedOn w:val="26"/>
    <w:unhideWhenUsed/>
    <w:uiPriority w:val="99"/>
    <w:rPr>
      <w:color w:val="800080"/>
      <w:u w:val="single"/>
    </w:rPr>
  </w:style>
  <w:style w:type="character" w:styleId="28">
    <w:name w:val="Emphasis"/>
    <w:qFormat/>
    <w:uiPriority w:val="0"/>
    <w:rPr>
      <w:rFonts w:ascii="Times New Roman" w:hAnsi="Times New Roman" w:eastAsia="宋体"/>
      <w:iCs/>
      <w:sz w:val="21"/>
    </w:rPr>
  </w:style>
  <w:style w:type="character" w:styleId="29">
    <w:name w:val="Hyperlink"/>
    <w:basedOn w:val="26"/>
    <w:unhideWhenUsed/>
    <w:uiPriority w:val="99"/>
    <w:rPr>
      <w:color w:val="0000FF" w:themeColor="hyperlink"/>
      <w:u w:val="single"/>
    </w:rPr>
  </w:style>
  <w:style w:type="character" w:styleId="30">
    <w:name w:val="annotation reference"/>
    <w:basedOn w:val="26"/>
    <w:unhideWhenUsed/>
    <w:uiPriority w:val="99"/>
    <w:rPr>
      <w:sz w:val="21"/>
      <w:szCs w:val="21"/>
    </w:rPr>
  </w:style>
  <w:style w:type="character" w:styleId="31">
    <w:name w:val="footnote reference"/>
    <w:basedOn w:val="26"/>
    <w:unhideWhenUsed/>
    <w:uiPriority w:val="99"/>
    <w:rPr>
      <w:vertAlign w:val="superscript"/>
    </w:rPr>
  </w:style>
  <w:style w:type="table" w:styleId="33">
    <w:name w:val="Table Grid"/>
    <w:basedOn w:val="32"/>
    <w:uiPriority w:val="59"/>
    <w:pPr>
      <w:jc w:val="both"/>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
  </w:style>
  <w:style w:type="table" w:styleId="34">
    <w:name w:val="Colorful Grid Accent 4"/>
    <w:basedOn w:val="32"/>
    <w:unhideWhenUsed/>
    <w:uiPriority w:val="73"/>
    <w:rPr>
      <w:color w:val="000000" w:themeColor="text1"/>
    </w:rPr>
    <w:tblPr>
      <w:tblBorders>
        <w:insideH w:val="single" w:color="FFFFFF" w:themeColor="background1" w:sz="4" w:space="0"/>
      </w:tblBorders>
      <w:tblLayout w:type="fixed"/>
    </w:tblPr>
    <w:tcPr>
      <w:shd w:val="clear" w:color="auto" w:fill="E5DFEC" w:themeFill="accent4" w:themeFillTint="33"/>
    </w:tcPr>
    <w:tblStylePr w:type="firstRow">
      <w:rPr>
        <w:b/>
        <w:bCs/>
      </w:rPr>
      <w:tblPr>
        <w:tblLayout w:type="fixed"/>
      </w:tblPr>
      <w:tcPr>
        <w:shd w:val="clear" w:color="auto" w:fill="CCC0D9" w:themeFill="accent4" w:themeFillTint="66"/>
      </w:tcPr>
    </w:tblStylePr>
    <w:tblStylePr w:type="lastRow">
      <w:rPr>
        <w:b/>
        <w:bCs/>
        <w:color w:val="000000" w:themeColor="text1"/>
      </w:rPr>
      <w:tblPr>
        <w:tblLayout w:type="fixed"/>
      </w:tblPr>
      <w:tcPr>
        <w:shd w:val="clear" w:color="auto" w:fill="CCC0D9" w:themeFill="accent4" w:themeFillTint="66"/>
      </w:tcPr>
    </w:tblStylePr>
    <w:tblStylePr w:type="firstCol">
      <w:rPr>
        <w:color w:val="FFFFFF" w:themeColor="background1"/>
      </w:rPr>
      <w:tblPr>
        <w:tblLayout w:type="fixed"/>
      </w:tblPr>
      <w:tcPr>
        <w:shd w:val="clear" w:color="auto" w:fill="5F497A" w:themeFill="accent4" w:themeFillShade="BF"/>
      </w:tcPr>
    </w:tblStylePr>
    <w:tblStylePr w:type="lastCol">
      <w:rPr>
        <w:color w:val="FFFFFF" w:themeColor="background1"/>
      </w:rPr>
      <w:tblPr>
        <w:tblLayout w:type="fixed"/>
      </w:tblPr>
      <w:tcPr>
        <w:shd w:val="clear" w:color="auto" w:fill="5F497A" w:themeFill="accent4" w:themeFillShade="BF"/>
      </w:tcPr>
    </w:tblStylePr>
    <w:tblStylePr w:type="band1Vert">
      <w:tblPr>
        <w:tblLayout w:type="fixed"/>
      </w:tblPr>
      <w:tcPr>
        <w:shd w:val="clear" w:color="auto" w:fill="BFB1D0" w:themeFill="accent4" w:themeFillTint="7F"/>
      </w:tcPr>
    </w:tblStylePr>
    <w:tblStylePr w:type="band1Horz">
      <w:tblPr>
        <w:tblLayout w:type="fixed"/>
      </w:tblPr>
      <w:tcPr>
        <w:shd w:val="clear" w:color="auto" w:fill="BFB1D0" w:themeFill="accent4" w:themeFillTint="7F"/>
      </w:tcPr>
    </w:tblStylePr>
  </w:style>
  <w:style w:type="character" w:customStyle="1" w:styleId="35">
    <w:name w:val="标题 1 Char"/>
    <w:basedOn w:val="26"/>
    <w:link w:val="2"/>
    <w:qFormat/>
    <w:uiPriority w:val="9"/>
    <w:rPr>
      <w:b/>
      <w:bCs/>
      <w:kern w:val="44"/>
      <w:sz w:val="44"/>
      <w:szCs w:val="44"/>
    </w:rPr>
  </w:style>
  <w:style w:type="character" w:customStyle="1" w:styleId="36">
    <w:name w:val="标题 2 Char"/>
    <w:basedOn w:val="26"/>
    <w:link w:val="3"/>
    <w:uiPriority w:val="9"/>
    <w:rPr>
      <w:rFonts w:asciiTheme="majorHAnsi" w:hAnsiTheme="majorHAnsi" w:eastAsiaTheme="majorEastAsia" w:cstheme="majorBidi"/>
      <w:b/>
      <w:bCs/>
      <w:sz w:val="32"/>
      <w:szCs w:val="32"/>
    </w:rPr>
  </w:style>
  <w:style w:type="character" w:customStyle="1" w:styleId="37">
    <w:name w:val="标题 3 Char"/>
    <w:basedOn w:val="26"/>
    <w:link w:val="4"/>
    <w:uiPriority w:val="9"/>
    <w:rPr>
      <w:b/>
      <w:bCs/>
      <w:sz w:val="32"/>
      <w:szCs w:val="32"/>
    </w:rPr>
  </w:style>
  <w:style w:type="character" w:customStyle="1" w:styleId="38">
    <w:name w:val="标题 5 Char"/>
    <w:basedOn w:val="26"/>
    <w:link w:val="5"/>
    <w:uiPriority w:val="0"/>
    <w:rPr>
      <w:rFonts w:ascii="Times New Roman" w:hAnsi="Times New Roman" w:eastAsia="宋体" w:cs="Times New Roman"/>
      <w:b/>
      <w:bCs/>
      <w:sz w:val="28"/>
      <w:szCs w:val="28"/>
    </w:rPr>
  </w:style>
  <w:style w:type="character" w:customStyle="1" w:styleId="39">
    <w:name w:val="页眉 Char"/>
    <w:basedOn w:val="26"/>
    <w:link w:val="17"/>
    <w:uiPriority w:val="0"/>
    <w:rPr>
      <w:sz w:val="18"/>
      <w:szCs w:val="18"/>
    </w:rPr>
  </w:style>
  <w:style w:type="character" w:customStyle="1" w:styleId="40">
    <w:name w:val="页脚 Char"/>
    <w:basedOn w:val="26"/>
    <w:link w:val="16"/>
    <w:uiPriority w:val="99"/>
    <w:rPr>
      <w:sz w:val="18"/>
      <w:szCs w:val="18"/>
    </w:rPr>
  </w:style>
  <w:style w:type="paragraph" w:customStyle="1" w:styleId="41">
    <w:name w:val="A6正文格式-中科易研"/>
    <w:basedOn w:val="1"/>
    <w:link w:val="42"/>
    <w:qFormat/>
    <w:uiPriority w:val="0"/>
    <w:pPr>
      <w:topLinePunct/>
      <w:spacing w:line="360" w:lineRule="auto"/>
      <w:ind w:firstLine="200" w:firstLineChars="200"/>
    </w:pPr>
    <w:rPr>
      <w:rFonts w:ascii="Times New Roman" w:hAnsi="Times New Roman" w:eastAsia="宋体"/>
      <w:szCs w:val="24"/>
    </w:rPr>
  </w:style>
  <w:style w:type="character" w:customStyle="1" w:styleId="42">
    <w:name w:val="A6正文格式-中科易研 字符"/>
    <w:basedOn w:val="26"/>
    <w:link w:val="41"/>
    <w:qFormat/>
    <w:uiPriority w:val="0"/>
    <w:rPr>
      <w:rFonts w:ascii="Times New Roman" w:hAnsi="Times New Roman" w:eastAsia="宋体"/>
      <w:sz w:val="24"/>
      <w:szCs w:val="24"/>
    </w:rPr>
  </w:style>
  <w:style w:type="character" w:customStyle="1" w:styleId="43">
    <w:name w:val="文档结构图 Char"/>
    <w:basedOn w:val="26"/>
    <w:link w:val="10"/>
    <w:semiHidden/>
    <w:uiPriority w:val="99"/>
    <w:rPr>
      <w:rFonts w:ascii="宋体" w:eastAsia="宋体"/>
      <w:sz w:val="18"/>
      <w:szCs w:val="18"/>
    </w:rPr>
  </w:style>
  <w:style w:type="paragraph" w:customStyle="1" w:styleId="44">
    <w:name w:val="FL标题1"/>
    <w:basedOn w:val="1"/>
    <w:link w:val="45"/>
    <w:qFormat/>
    <w:uiPriority w:val="0"/>
    <w:pPr>
      <w:spacing w:beforeLines="200" w:afterLines="300"/>
      <w:jc w:val="center"/>
      <w:outlineLvl w:val="0"/>
    </w:pPr>
    <w:rPr>
      <w:rFonts w:ascii="黑体" w:hAnsi="黑体" w:eastAsiaTheme="majorEastAsia"/>
      <w:b/>
      <w:color w:val="31849B" w:themeColor="accent5" w:themeShade="BF"/>
      <w:sz w:val="44"/>
      <w:szCs w:val="44"/>
    </w:rPr>
  </w:style>
  <w:style w:type="character" w:customStyle="1" w:styleId="45">
    <w:name w:val="FL标题1 字符"/>
    <w:basedOn w:val="26"/>
    <w:link w:val="44"/>
    <w:qFormat/>
    <w:uiPriority w:val="0"/>
    <w:rPr>
      <w:rFonts w:ascii="黑体" w:hAnsi="黑体" w:eastAsiaTheme="majorEastAsia"/>
      <w:b/>
      <w:color w:val="31849B" w:themeColor="accent5" w:themeShade="BF"/>
      <w:sz w:val="44"/>
      <w:szCs w:val="44"/>
    </w:rPr>
  </w:style>
  <w:style w:type="paragraph" w:styleId="46">
    <w:name w:val="List Paragraph"/>
    <w:basedOn w:val="1"/>
    <w:qFormat/>
    <w:uiPriority w:val="99"/>
    <w:pPr>
      <w:ind w:firstLine="420" w:firstLineChars="200"/>
    </w:pPr>
  </w:style>
  <w:style w:type="paragraph" w:customStyle="1" w:styleId="47">
    <w:name w:val="FL标题2"/>
    <w:basedOn w:val="1"/>
    <w:link w:val="48"/>
    <w:qFormat/>
    <w:uiPriority w:val="0"/>
    <w:pPr>
      <w:topLinePunct/>
      <w:spacing w:beforeLines="100" w:afterLines="50"/>
      <w:outlineLvl w:val="1"/>
    </w:pPr>
    <w:rPr>
      <w:b/>
      <w:color w:val="31849B" w:themeColor="accent5" w:themeShade="BF"/>
      <w:sz w:val="32"/>
      <w:szCs w:val="32"/>
    </w:rPr>
  </w:style>
  <w:style w:type="character" w:customStyle="1" w:styleId="48">
    <w:name w:val="FL标题2 字符"/>
    <w:basedOn w:val="26"/>
    <w:link w:val="47"/>
    <w:uiPriority w:val="0"/>
    <w:rPr>
      <w:b/>
      <w:color w:val="31849B" w:themeColor="accent5" w:themeShade="BF"/>
      <w:sz w:val="32"/>
      <w:szCs w:val="32"/>
    </w:rPr>
  </w:style>
  <w:style w:type="paragraph" w:customStyle="1" w:styleId="49">
    <w:name w:val="FL标题3"/>
    <w:basedOn w:val="1"/>
    <w:link w:val="50"/>
    <w:qFormat/>
    <w:uiPriority w:val="0"/>
    <w:pPr>
      <w:topLinePunct/>
      <w:spacing w:beforeLines="50" w:afterLines="50"/>
      <w:ind w:left="50" w:leftChars="50"/>
      <w:outlineLvl w:val="2"/>
    </w:pPr>
    <w:rPr>
      <w:rFonts w:eastAsia="宋体"/>
      <w:b/>
      <w:color w:val="31849B" w:themeColor="accent5" w:themeShade="BF"/>
      <w:sz w:val="28"/>
      <w:szCs w:val="28"/>
    </w:rPr>
  </w:style>
  <w:style w:type="character" w:customStyle="1" w:styleId="50">
    <w:name w:val="FL标题3 字符"/>
    <w:basedOn w:val="26"/>
    <w:link w:val="49"/>
    <w:qFormat/>
    <w:uiPriority w:val="0"/>
    <w:rPr>
      <w:rFonts w:eastAsia="宋体"/>
      <w:b/>
      <w:color w:val="31849B" w:themeColor="accent5" w:themeShade="BF"/>
      <w:sz w:val="28"/>
      <w:szCs w:val="28"/>
    </w:rPr>
  </w:style>
  <w:style w:type="paragraph" w:styleId="51">
    <w:name w:val="No Spacing"/>
    <w:link w:val="52"/>
    <w:qFormat/>
    <w:uiPriority w:val="1"/>
    <w:pPr>
      <w:widowControl w:val="0"/>
      <w:jc w:val="both"/>
    </w:pPr>
    <w:rPr>
      <w:rFonts w:ascii="Times New Roman" w:hAnsi="Times New Roman" w:eastAsiaTheme="minorEastAsia" w:cstheme="minorBidi"/>
      <w:kern w:val="2"/>
      <w:sz w:val="21"/>
      <w:szCs w:val="22"/>
      <w:lang w:val="en-US" w:eastAsia="zh-CN" w:bidi="ar-SA"/>
    </w:rPr>
  </w:style>
  <w:style w:type="character" w:customStyle="1" w:styleId="52">
    <w:name w:val="无间隔 Char"/>
    <w:basedOn w:val="26"/>
    <w:link w:val="51"/>
    <w:uiPriority w:val="1"/>
    <w:rPr>
      <w:rFonts w:ascii="Times New Roman" w:hAnsi="Times New Roman"/>
    </w:rPr>
  </w:style>
  <w:style w:type="paragraph" w:customStyle="1" w:styleId="53">
    <w:name w:val="FL表格文本"/>
    <w:basedOn w:val="51"/>
    <w:link w:val="54"/>
    <w:qFormat/>
    <w:uiPriority w:val="0"/>
    <w:rPr>
      <w:rFonts w:eastAsia="宋体"/>
    </w:rPr>
  </w:style>
  <w:style w:type="character" w:customStyle="1" w:styleId="54">
    <w:name w:val="FL表格文本 Char"/>
    <w:basedOn w:val="52"/>
    <w:link w:val="53"/>
    <w:uiPriority w:val="0"/>
    <w:rPr>
      <w:rFonts w:ascii="Times New Roman" w:hAnsi="Times New Roman" w:eastAsia="宋体"/>
    </w:rPr>
  </w:style>
  <w:style w:type="paragraph" w:customStyle="1" w:styleId="55">
    <w:name w:val="FL表标题"/>
    <w:basedOn w:val="51"/>
    <w:link w:val="56"/>
    <w:qFormat/>
    <w:uiPriority w:val="0"/>
    <w:pPr>
      <w:numPr>
        <w:ilvl w:val="0"/>
        <w:numId w:val="1"/>
      </w:numPr>
      <w:adjustRightInd w:val="0"/>
      <w:snapToGrid w:val="0"/>
      <w:spacing w:beforeLines="100" w:afterLines="50"/>
      <w:ind w:left="567" w:hanging="567"/>
      <w:jc w:val="center"/>
    </w:pPr>
    <w:rPr>
      <w:rFonts w:eastAsia="宋体"/>
      <w:color w:val="31849B" w:themeColor="accent5" w:themeShade="BF"/>
    </w:rPr>
  </w:style>
  <w:style w:type="character" w:customStyle="1" w:styleId="56">
    <w:name w:val="FL表标题 Char"/>
    <w:basedOn w:val="52"/>
    <w:link w:val="55"/>
    <w:uiPriority w:val="0"/>
    <w:rPr>
      <w:rFonts w:ascii="Times New Roman" w:hAnsi="Times New Roman" w:eastAsia="宋体"/>
      <w:color w:val="31849B" w:themeColor="accent5" w:themeShade="BF"/>
    </w:rPr>
  </w:style>
  <w:style w:type="paragraph" w:customStyle="1" w:styleId="57">
    <w:name w:val="FL表注"/>
    <w:basedOn w:val="51"/>
    <w:link w:val="58"/>
    <w:qFormat/>
    <w:uiPriority w:val="0"/>
    <w:pPr>
      <w:spacing w:afterLines="100"/>
    </w:pPr>
    <w:rPr>
      <w:sz w:val="18"/>
      <w:szCs w:val="18"/>
    </w:rPr>
  </w:style>
  <w:style w:type="character" w:customStyle="1" w:styleId="58">
    <w:name w:val="FL表注 Char"/>
    <w:basedOn w:val="52"/>
    <w:link w:val="57"/>
    <w:uiPriority w:val="0"/>
    <w:rPr>
      <w:rFonts w:ascii="Times New Roman" w:hAnsi="Times New Roman"/>
      <w:sz w:val="18"/>
      <w:szCs w:val="18"/>
    </w:rPr>
  </w:style>
  <w:style w:type="character" w:customStyle="1" w:styleId="59">
    <w:name w:val="批注框文本 Char"/>
    <w:basedOn w:val="26"/>
    <w:link w:val="15"/>
    <w:semiHidden/>
    <w:uiPriority w:val="0"/>
    <w:rPr>
      <w:sz w:val="18"/>
      <w:szCs w:val="18"/>
    </w:rPr>
  </w:style>
  <w:style w:type="paragraph" w:customStyle="1" w:styleId="60">
    <w:name w:val="A7图表格式"/>
    <w:basedOn w:val="51"/>
    <w:link w:val="61"/>
    <w:qFormat/>
    <w:uiPriority w:val="0"/>
    <w:pPr>
      <w:spacing w:beforeLines="50" w:afterLines="100"/>
      <w:jc w:val="center"/>
    </w:pPr>
    <w:rPr>
      <w:color w:val="214D83"/>
    </w:rPr>
  </w:style>
  <w:style w:type="character" w:customStyle="1" w:styleId="61">
    <w:name w:val="A7图表格式 字符"/>
    <w:basedOn w:val="52"/>
    <w:link w:val="60"/>
    <w:uiPriority w:val="0"/>
    <w:rPr>
      <w:rFonts w:ascii="Times New Roman" w:hAnsi="Times New Roman"/>
      <w:color w:val="214D83"/>
    </w:rPr>
  </w:style>
  <w:style w:type="paragraph" w:customStyle="1" w:styleId="62">
    <w:name w:val="FL图"/>
    <w:basedOn w:val="51"/>
    <w:link w:val="63"/>
    <w:qFormat/>
    <w:uiPriority w:val="0"/>
    <w:pPr>
      <w:jc w:val="center"/>
    </w:pPr>
  </w:style>
  <w:style w:type="character" w:customStyle="1" w:styleId="63">
    <w:name w:val="FL图 Char"/>
    <w:basedOn w:val="52"/>
    <w:link w:val="62"/>
    <w:uiPriority w:val="0"/>
    <w:rPr>
      <w:rFonts w:ascii="Times New Roman" w:hAnsi="Times New Roman"/>
    </w:rPr>
  </w:style>
  <w:style w:type="character" w:customStyle="1" w:styleId="64">
    <w:name w:val="批注文字 Char"/>
    <w:basedOn w:val="26"/>
    <w:link w:val="7"/>
    <w:uiPriority w:val="0"/>
    <w:rPr>
      <w:rFonts w:ascii="Times New Roman" w:hAnsi="Times New Roman" w:eastAsia="宋体" w:cs="Times New Roman"/>
    </w:rPr>
  </w:style>
  <w:style w:type="paragraph" w:customStyle="1" w:styleId="65">
    <w:name w:val="xl83"/>
    <w:basedOn w:val="1"/>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360" w:lineRule="auto"/>
      <w:ind w:firstLine="200" w:firstLineChars="200"/>
      <w:jc w:val="left"/>
    </w:pPr>
    <w:rPr>
      <w:rFonts w:ascii="宋体" w:hAnsi="宋体" w:eastAsia="宋体" w:cs="宋体"/>
      <w:kern w:val="0"/>
      <w:szCs w:val="21"/>
    </w:rPr>
  </w:style>
  <w:style w:type="character" w:customStyle="1" w:styleId="66">
    <w:name w:val="日期 Char"/>
    <w:basedOn w:val="26"/>
    <w:link w:val="14"/>
    <w:semiHidden/>
    <w:qFormat/>
    <w:uiPriority w:val="99"/>
  </w:style>
  <w:style w:type="paragraph" w:customStyle="1" w:styleId="67">
    <w:name w:val="A4四级标题-中科易研"/>
    <w:basedOn w:val="1"/>
    <w:link w:val="68"/>
    <w:qFormat/>
    <w:uiPriority w:val="0"/>
    <w:pPr>
      <w:spacing w:beforeLines="50" w:afterLines="50"/>
      <w:ind w:left="100" w:leftChars="100"/>
      <w:outlineLvl w:val="3"/>
    </w:pPr>
    <w:rPr>
      <w:rFonts w:ascii="Times New Roman" w:hAnsi="Times New Roman" w:eastAsia="宋体"/>
      <w:b/>
      <w:color w:val="31849B" w:themeColor="accent5" w:themeShade="BF"/>
      <w:kern w:val="0"/>
      <w:sz w:val="28"/>
    </w:rPr>
  </w:style>
  <w:style w:type="character" w:customStyle="1" w:styleId="68">
    <w:name w:val="A4四级标题-中科易研 字符"/>
    <w:basedOn w:val="50"/>
    <w:link w:val="67"/>
    <w:uiPriority w:val="0"/>
    <w:rPr>
      <w:rFonts w:ascii="Times New Roman" w:hAnsi="Times New Roman" w:eastAsia="宋体"/>
      <w:color w:val="31849B" w:themeColor="accent5" w:themeShade="BF"/>
      <w:kern w:val="0"/>
      <w:sz w:val="28"/>
      <w:szCs w:val="28"/>
    </w:rPr>
  </w:style>
  <w:style w:type="table" w:customStyle="1" w:styleId="69">
    <w:name w:val="网格表 5 深色 - 着色 11"/>
    <w:basedOn w:val="32"/>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Pr>
    <w:tcPr>
      <w:shd w:val="clear" w:color="auto" w:fill="DBE5F1" w:themeFill="accent1"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F81BD" w:themeFill="accent1"/>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F81BD" w:themeFill="accent1"/>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F81BD" w:themeFill="accent1"/>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F81BD" w:themeFill="accent1"/>
      </w:tcPr>
    </w:tblStylePr>
    <w:tblStylePr w:type="band1Vert">
      <w:tcPr>
        <w:shd w:val="clear" w:color="auto" w:fill="B8CCE4" w:themeFill="accent1" w:themeFillTint="66"/>
      </w:tcPr>
    </w:tblStylePr>
    <w:tblStylePr w:type="band1Horz">
      <w:tcPr>
        <w:shd w:val="clear" w:color="auto" w:fill="B8CCE4" w:themeFill="accent1" w:themeFillTint="66"/>
      </w:tcPr>
    </w:tblStylePr>
  </w:style>
  <w:style w:type="paragraph" w:customStyle="1" w:styleId="70">
    <w:name w:val="A5五级标题-中科易研"/>
    <w:basedOn w:val="1"/>
    <w:next w:val="41"/>
    <w:link w:val="71"/>
    <w:qFormat/>
    <w:uiPriority w:val="0"/>
    <w:pPr>
      <w:spacing w:beforeLines="50" w:afterLines="50"/>
      <w:ind w:left="150" w:leftChars="150"/>
      <w:outlineLvl w:val="4"/>
    </w:pPr>
    <w:rPr>
      <w:rFonts w:ascii="Times New Roman" w:hAnsi="Times New Roman" w:eastAsia="宋体" w:cs="Times New Roman"/>
      <w:b/>
      <w:color w:val="31849B" w:themeColor="accent5" w:themeShade="BF"/>
      <w:sz w:val="28"/>
      <w:szCs w:val="24"/>
    </w:rPr>
  </w:style>
  <w:style w:type="character" w:customStyle="1" w:styleId="71">
    <w:name w:val="A5五级标题-中科易研 字符"/>
    <w:basedOn w:val="68"/>
    <w:link w:val="70"/>
    <w:uiPriority w:val="0"/>
    <w:rPr>
      <w:rFonts w:ascii="Times New Roman" w:hAnsi="Times New Roman" w:eastAsia="宋体" w:cs="Times New Roman"/>
      <w:color w:val="31849B" w:themeColor="accent5" w:themeShade="BF"/>
      <w:kern w:val="0"/>
      <w:sz w:val="28"/>
      <w:szCs w:val="24"/>
    </w:rPr>
  </w:style>
  <w:style w:type="character" w:customStyle="1" w:styleId="72">
    <w:name w:val="脚注文本 Char"/>
    <w:basedOn w:val="26"/>
    <w:link w:val="21"/>
    <w:uiPriority w:val="99"/>
    <w:rPr>
      <w:sz w:val="18"/>
      <w:szCs w:val="18"/>
    </w:rPr>
  </w:style>
  <w:style w:type="paragraph" w:customStyle="1" w:styleId="73">
    <w:name w:val="无间隔1"/>
    <w:uiPriority w:val="0"/>
    <w:pPr>
      <w:widowControl w:val="0"/>
      <w:jc w:val="both"/>
    </w:pPr>
    <w:rPr>
      <w:rFonts w:ascii="Calibri" w:hAnsi="Calibri" w:eastAsia="宋体" w:cs="Times New Roman"/>
      <w:kern w:val="2"/>
      <w:sz w:val="21"/>
      <w:szCs w:val="22"/>
      <w:lang w:val="en-US" w:eastAsia="zh-CN" w:bidi="ar-SA"/>
    </w:rPr>
  </w:style>
  <w:style w:type="character" w:customStyle="1" w:styleId="74">
    <w:name w:val="批注主题 Char"/>
    <w:basedOn w:val="64"/>
    <w:link w:val="6"/>
    <w:uiPriority w:val="0"/>
    <w:rPr>
      <w:rFonts w:ascii="Calibri" w:hAnsi="Calibri" w:eastAsia="宋体" w:cs="Times New Roman"/>
      <w:b/>
      <w:bCs/>
    </w:rPr>
  </w:style>
  <w:style w:type="paragraph" w:customStyle="1" w:styleId="75">
    <w:name w:val="FL标题6"/>
    <w:basedOn w:val="70"/>
    <w:next w:val="41"/>
    <w:qFormat/>
    <w:uiPriority w:val="0"/>
    <w:pPr>
      <w:outlineLvl w:val="5"/>
    </w:pPr>
  </w:style>
  <w:style w:type="character" w:customStyle="1" w:styleId="76">
    <w:name w:val="Book Title"/>
    <w:basedOn w:val="26"/>
    <w:qFormat/>
    <w:uiPriority w:val="33"/>
    <w:rPr>
      <w:b/>
      <w:bCs/>
      <w:smallCaps/>
      <w:spacing w:val="5"/>
    </w:rPr>
  </w:style>
  <w:style w:type="paragraph" w:customStyle="1" w:styleId="77">
    <w:name w:val="font5"/>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78">
    <w:name w:val="font6"/>
    <w:basedOn w:val="1"/>
    <w:uiPriority w:val="0"/>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79">
    <w:name w:val="xl71"/>
    <w:basedOn w:val="1"/>
    <w:uiPriority w:val="0"/>
    <w:pPr>
      <w:widowControl/>
      <w:pBdr>
        <w:top w:val="single" w:color="00B050" w:sz="8" w:space="0"/>
        <w:bottom w:val="single" w:color="00B050" w:sz="8" w:space="0"/>
      </w:pBdr>
      <w:spacing w:before="100" w:beforeAutospacing="1" w:after="100" w:afterAutospacing="1"/>
      <w:jc w:val="left"/>
      <w:textAlignment w:val="top"/>
    </w:pPr>
    <w:rPr>
      <w:rFonts w:ascii="MingLiU" w:hAnsi="MingLiU" w:eastAsia="MingLiU" w:cs="宋体"/>
      <w:color w:val="000000"/>
      <w:kern w:val="0"/>
      <w:sz w:val="18"/>
      <w:szCs w:val="18"/>
    </w:rPr>
  </w:style>
  <w:style w:type="paragraph" w:customStyle="1" w:styleId="80">
    <w:name w:val="xl72"/>
    <w:basedOn w:val="1"/>
    <w:uiPriority w:val="0"/>
    <w:pPr>
      <w:widowControl/>
      <w:pBdr>
        <w:top w:val="single" w:color="00B050" w:sz="8" w:space="0"/>
        <w:bottom w:val="single" w:color="00B050" w:sz="8" w:space="0"/>
      </w:pBdr>
      <w:spacing w:before="100" w:beforeAutospacing="1" w:after="100" w:afterAutospacing="1"/>
      <w:jc w:val="right"/>
      <w:textAlignment w:val="top"/>
    </w:pPr>
    <w:rPr>
      <w:rFonts w:ascii="MingLiU" w:hAnsi="MingLiU" w:eastAsia="MingLiU" w:cs="宋体"/>
      <w:color w:val="000000"/>
      <w:kern w:val="0"/>
      <w:sz w:val="18"/>
      <w:szCs w:val="18"/>
    </w:rPr>
  </w:style>
  <w:style w:type="paragraph" w:customStyle="1" w:styleId="81">
    <w:name w:val="xl73"/>
    <w:basedOn w:val="1"/>
    <w:uiPriority w:val="0"/>
    <w:pPr>
      <w:widowControl/>
      <w:pBdr>
        <w:top w:val="single" w:color="00B050" w:sz="8" w:space="0"/>
        <w:bottom w:val="single" w:color="00B050" w:sz="8" w:space="0"/>
      </w:pBdr>
      <w:spacing w:before="100" w:beforeAutospacing="1" w:after="100" w:afterAutospacing="1"/>
      <w:jc w:val="left"/>
    </w:pPr>
    <w:rPr>
      <w:rFonts w:ascii="宋体" w:hAnsi="宋体" w:eastAsia="宋体" w:cs="宋体"/>
      <w:kern w:val="0"/>
      <w:szCs w:val="24"/>
    </w:rPr>
  </w:style>
  <w:style w:type="paragraph" w:customStyle="1" w:styleId="82">
    <w:name w:val="xl74"/>
    <w:basedOn w:val="1"/>
    <w:uiPriority w:val="0"/>
    <w:pPr>
      <w:widowControl/>
      <w:pBdr>
        <w:top w:val="single" w:color="00B050" w:sz="8" w:space="0"/>
        <w:bottom w:val="single" w:color="00B050" w:sz="12" w:space="0"/>
      </w:pBdr>
      <w:spacing w:before="100" w:beforeAutospacing="1" w:after="100" w:afterAutospacing="1"/>
      <w:jc w:val="left"/>
      <w:textAlignment w:val="top"/>
    </w:pPr>
    <w:rPr>
      <w:rFonts w:ascii="MingLiU" w:hAnsi="MingLiU" w:eastAsia="MingLiU" w:cs="宋体"/>
      <w:color w:val="000000"/>
      <w:kern w:val="0"/>
      <w:sz w:val="18"/>
      <w:szCs w:val="18"/>
    </w:rPr>
  </w:style>
  <w:style w:type="paragraph" w:customStyle="1" w:styleId="83">
    <w:name w:val="xl75"/>
    <w:basedOn w:val="1"/>
    <w:uiPriority w:val="0"/>
    <w:pPr>
      <w:widowControl/>
      <w:pBdr>
        <w:top w:val="single" w:color="00B050" w:sz="8" w:space="0"/>
        <w:bottom w:val="single" w:color="00B050" w:sz="12" w:space="0"/>
      </w:pBdr>
      <w:spacing w:before="100" w:beforeAutospacing="1" w:after="100" w:afterAutospacing="1"/>
      <w:jc w:val="right"/>
      <w:textAlignment w:val="top"/>
    </w:pPr>
    <w:rPr>
      <w:rFonts w:ascii="MingLiU" w:hAnsi="MingLiU" w:eastAsia="MingLiU" w:cs="宋体"/>
      <w:color w:val="000000"/>
      <w:kern w:val="0"/>
      <w:sz w:val="18"/>
      <w:szCs w:val="18"/>
    </w:rPr>
  </w:style>
  <w:style w:type="paragraph" w:customStyle="1" w:styleId="84">
    <w:name w:val="xl76"/>
    <w:basedOn w:val="1"/>
    <w:uiPriority w:val="0"/>
    <w:pPr>
      <w:widowControl/>
      <w:pBdr>
        <w:top w:val="single" w:color="00B050" w:sz="8" w:space="0"/>
        <w:bottom w:val="single" w:color="00B050" w:sz="12" w:space="0"/>
      </w:pBdr>
      <w:spacing w:before="100" w:beforeAutospacing="1" w:after="100" w:afterAutospacing="1"/>
      <w:jc w:val="left"/>
    </w:pPr>
    <w:rPr>
      <w:rFonts w:ascii="宋体" w:hAnsi="宋体" w:eastAsia="宋体" w:cs="宋体"/>
      <w:kern w:val="0"/>
      <w:szCs w:val="24"/>
    </w:rPr>
  </w:style>
  <w:style w:type="paragraph" w:customStyle="1" w:styleId="85">
    <w:name w:val="xl77"/>
    <w:basedOn w:val="1"/>
    <w:uiPriority w:val="0"/>
    <w:pPr>
      <w:widowControl/>
      <w:pBdr>
        <w:top w:val="single" w:color="00B050" w:sz="8" w:space="0"/>
        <w:bottom w:val="single" w:color="00B050" w:sz="8" w:space="0"/>
      </w:pBdr>
      <w:spacing w:before="100" w:beforeAutospacing="1" w:after="100" w:afterAutospacing="1"/>
      <w:jc w:val="center"/>
      <w:textAlignment w:val="top"/>
    </w:pPr>
    <w:rPr>
      <w:rFonts w:ascii="MingLiU" w:hAnsi="MingLiU" w:eastAsia="MingLiU" w:cs="宋体"/>
      <w:color w:val="000000"/>
      <w:kern w:val="0"/>
      <w:sz w:val="18"/>
      <w:szCs w:val="18"/>
    </w:rPr>
  </w:style>
  <w:style w:type="paragraph" w:customStyle="1" w:styleId="86">
    <w:name w:val="xl78"/>
    <w:basedOn w:val="1"/>
    <w:uiPriority w:val="0"/>
    <w:pPr>
      <w:widowControl/>
      <w:pBdr>
        <w:top w:val="single" w:color="00B050" w:sz="12" w:space="0"/>
        <w:bottom w:val="single" w:color="00B050" w:sz="8" w:space="0"/>
      </w:pBdr>
      <w:spacing w:before="100" w:beforeAutospacing="1" w:after="100" w:afterAutospacing="1"/>
      <w:jc w:val="center"/>
      <w:textAlignment w:val="top"/>
    </w:pPr>
    <w:rPr>
      <w:rFonts w:ascii="MingLiU" w:hAnsi="MingLiU" w:eastAsia="MingLiU" w:cs="宋体"/>
      <w:color w:val="000000"/>
      <w:kern w:val="0"/>
      <w:sz w:val="18"/>
      <w:szCs w:val="18"/>
    </w:rPr>
  </w:style>
  <w:style w:type="paragraph" w:customStyle="1" w:styleId="87">
    <w:name w:val="xl79"/>
    <w:basedOn w:val="1"/>
    <w:uiPriority w:val="0"/>
    <w:pPr>
      <w:widowControl/>
      <w:pBdr>
        <w:top w:val="single" w:color="00B050" w:sz="12" w:space="0"/>
        <w:bottom w:val="single" w:color="00B050" w:sz="8" w:space="0"/>
      </w:pBdr>
      <w:spacing w:before="100" w:beforeAutospacing="1" w:after="100" w:afterAutospacing="1"/>
      <w:jc w:val="center"/>
      <w:textAlignment w:val="bottom"/>
    </w:pPr>
    <w:rPr>
      <w:rFonts w:ascii="MingLiU" w:hAnsi="MingLiU" w:eastAsia="MingLiU" w:cs="宋体"/>
      <w:color w:val="000000"/>
      <w:kern w:val="0"/>
      <w:sz w:val="18"/>
      <w:szCs w:val="18"/>
    </w:rPr>
  </w:style>
  <w:style w:type="paragraph" w:customStyle="1" w:styleId="88">
    <w:name w:val="xl80"/>
    <w:basedOn w:val="1"/>
    <w:uiPriority w:val="0"/>
    <w:pPr>
      <w:widowControl/>
      <w:pBdr>
        <w:top w:val="single" w:color="00B050" w:sz="8" w:space="0"/>
        <w:bottom w:val="single" w:color="00B050" w:sz="8" w:space="0"/>
      </w:pBdr>
      <w:spacing w:before="100" w:beforeAutospacing="1" w:after="100" w:afterAutospacing="1"/>
      <w:jc w:val="center"/>
      <w:textAlignment w:val="bottom"/>
    </w:pPr>
    <w:rPr>
      <w:rFonts w:ascii="MingLiU" w:hAnsi="MingLiU" w:eastAsia="MingLiU" w:cs="宋体"/>
      <w:color w:val="000000"/>
      <w:kern w:val="0"/>
      <w:sz w:val="18"/>
      <w:szCs w:val="18"/>
    </w:rPr>
  </w:style>
  <w:style w:type="character" w:customStyle="1" w:styleId="89">
    <w:name w:val="副标题 Char"/>
    <w:basedOn w:val="26"/>
    <w:link w:val="20"/>
    <w:uiPriority w:val="11"/>
    <w:rPr>
      <w:rFonts w:eastAsia="宋体" w:asciiTheme="majorHAnsi" w:hAnsiTheme="majorHAnsi" w:cstheme="majorBidi"/>
      <w:b/>
      <w:bCs/>
      <w:kern w:val="28"/>
      <w:sz w:val="32"/>
      <w:szCs w:val="32"/>
    </w:rPr>
  </w:style>
  <w:style w:type="paragraph" w:customStyle="1" w:styleId="90">
    <w:name w:val="font7"/>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91">
    <w:name w:val="xl70"/>
    <w:basedOn w:val="1"/>
    <w:uiPriority w:val="0"/>
    <w:pPr>
      <w:widowControl/>
      <w:spacing w:before="100" w:beforeAutospacing="1" w:after="100" w:afterAutospacing="1"/>
      <w:jc w:val="center"/>
    </w:pPr>
    <w:rPr>
      <w:rFonts w:ascii="Times New Roman" w:hAnsi="Times New Roman" w:eastAsia="宋体" w:cs="Times New Roman"/>
      <w:kern w:val="0"/>
      <w:szCs w:val="21"/>
    </w:rPr>
  </w:style>
  <w:style w:type="paragraph" w:customStyle="1" w:styleId="92">
    <w:name w:val="xl81"/>
    <w:basedOn w:val="1"/>
    <w:uiPriority w:val="0"/>
    <w:pPr>
      <w:widowControl/>
      <w:pBdr>
        <w:top w:val="single" w:color="00B050" w:sz="8" w:space="0"/>
        <w:left w:val="single" w:color="00B050" w:sz="4" w:space="0"/>
        <w:bottom w:val="single" w:color="00B050" w:sz="12" w:space="0"/>
      </w:pBdr>
      <w:spacing w:before="100" w:beforeAutospacing="1" w:after="100" w:afterAutospacing="1"/>
      <w:jc w:val="center"/>
    </w:pPr>
    <w:rPr>
      <w:rFonts w:ascii="宋体" w:hAnsi="宋体" w:eastAsia="宋体" w:cs="宋体"/>
      <w:kern w:val="0"/>
      <w:szCs w:val="24"/>
    </w:rPr>
  </w:style>
  <w:style w:type="paragraph" w:customStyle="1" w:styleId="93">
    <w:name w:val="xl82"/>
    <w:basedOn w:val="1"/>
    <w:uiPriority w:val="0"/>
    <w:pPr>
      <w:widowControl/>
      <w:spacing w:before="100" w:beforeAutospacing="1" w:after="100" w:afterAutospacing="1"/>
      <w:jc w:val="center"/>
    </w:pPr>
    <w:rPr>
      <w:rFonts w:ascii="Times New Roman" w:hAnsi="Times New Roman" w:eastAsia="宋体" w:cs="Times New Roman"/>
      <w:kern w:val="0"/>
      <w:szCs w:val="21"/>
    </w:rPr>
  </w:style>
  <w:style w:type="paragraph" w:customStyle="1" w:styleId="94">
    <w:name w:val="xl84"/>
    <w:basedOn w:val="1"/>
    <w:uiPriority w:val="0"/>
    <w:pPr>
      <w:widowControl/>
      <w:spacing w:before="100" w:beforeAutospacing="1" w:after="100" w:afterAutospacing="1"/>
      <w:jc w:val="left"/>
    </w:pPr>
    <w:rPr>
      <w:rFonts w:ascii="Calibri" w:hAnsi="Calibri" w:eastAsia="宋体" w:cs="宋体"/>
      <w:kern w:val="0"/>
      <w:szCs w:val="21"/>
    </w:rPr>
  </w:style>
  <w:style w:type="paragraph" w:customStyle="1" w:styleId="95">
    <w:name w:val="xl85"/>
    <w:basedOn w:val="1"/>
    <w:uiPriority w:val="0"/>
    <w:pPr>
      <w:widowControl/>
      <w:pBdr>
        <w:left w:val="single" w:color="00B050"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96">
    <w:name w:val="xl86"/>
    <w:basedOn w:val="1"/>
    <w:uiPriority w:val="0"/>
    <w:pPr>
      <w:widowControl/>
      <w:pBdr>
        <w:left w:val="single" w:color="00B050" w:sz="4" w:space="0"/>
        <w:bottom w:val="single" w:color="00B050" w:sz="12" w:space="0"/>
      </w:pBdr>
      <w:spacing w:before="100" w:beforeAutospacing="1" w:after="100" w:afterAutospacing="1"/>
      <w:jc w:val="center"/>
    </w:pPr>
    <w:rPr>
      <w:rFonts w:ascii="Times New Roman" w:hAnsi="Times New Roman" w:eastAsia="宋体" w:cs="Times New Roman"/>
      <w:kern w:val="0"/>
      <w:szCs w:val="21"/>
    </w:rPr>
  </w:style>
  <w:style w:type="table" w:customStyle="1" w:styleId="97">
    <w:name w:val="网格表 6 彩色 - 着色 11"/>
    <w:basedOn w:val="32"/>
    <w:uiPriority w:val="51"/>
    <w:rPr>
      <w:color w:val="366091" w:themeColor="accent1" w:themeShade="BF"/>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fixed"/>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98">
    <w:name w:val="网格表 4 - 着色 11"/>
    <w:basedOn w:val="32"/>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fixed"/>
    </w:tblPr>
    <w:tblStylePr w:type="firstRow">
      <w:rPr>
        <w:b/>
        <w:bCs/>
        <w:color w:val="FFFFFF" w:themeColor="background1"/>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99">
    <w:name w:val="网格表 5 深色 - 着色 41"/>
    <w:basedOn w:val="32"/>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Pr>
    <w:tcPr>
      <w:shd w:val="clear" w:color="auto" w:fill="E5DFEC" w:themeFill="accent4"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8064A2" w:themeFill="accent4"/>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8064A2" w:themeFill="accent4"/>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8064A2" w:themeFill="accent4"/>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8064A2" w:themeFill="accent4"/>
      </w:tcPr>
    </w:tblStylePr>
    <w:tblStylePr w:type="band1Vert">
      <w:tcPr>
        <w:shd w:val="clear" w:color="auto" w:fill="CCC0D9" w:themeFill="accent4" w:themeFillTint="66"/>
      </w:tcPr>
    </w:tblStylePr>
    <w:tblStylePr w:type="band1Horz">
      <w:tcPr>
        <w:shd w:val="clear" w:color="auto" w:fill="CCC0D9" w:themeFill="accent4" w:themeFillTint="66"/>
      </w:tcPr>
    </w:tblStylePr>
  </w:style>
  <w:style w:type="table" w:customStyle="1" w:styleId="100">
    <w:name w:val="网格表 4 - 着色 41"/>
    <w:basedOn w:val="32"/>
    <w:uiPriority w:val="49"/>
    <w:tblPr>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insideV w:val="single" w:color="B2A1C7" w:themeColor="accent4" w:themeTint="99" w:sz="4" w:space="0"/>
      </w:tblBorders>
      <w:tblLayout w:type="fixed"/>
    </w:tblPr>
    <w:tblStylePr w:type="firstRow">
      <w:rPr>
        <w:b/>
        <w:bCs/>
        <w:color w:val="FFFFFF" w:themeColor="background1"/>
      </w:rPr>
      <w:tcPr>
        <w:tcBorders>
          <w:top w:val="single" w:color="8064A2" w:themeColor="accent4" w:sz="4" w:space="0"/>
          <w:left w:val="single" w:color="8064A2" w:themeColor="accent4" w:sz="4" w:space="0"/>
          <w:bottom w:val="single" w:color="8064A2" w:themeColor="accent4" w:sz="4" w:space="0"/>
          <w:right w:val="single" w:color="8064A2" w:themeColor="accent4" w:sz="4" w:space="0"/>
          <w:insideH w:val="nil"/>
          <w:insideV w:val="nil"/>
        </w:tcBorders>
        <w:shd w:val="clear" w:color="auto" w:fill="8064A2" w:themeFill="accent4"/>
      </w:tcPr>
    </w:tblStylePr>
    <w:tblStylePr w:type="lastRow">
      <w:rPr>
        <w:b/>
        <w:bCs/>
      </w:rPr>
      <w:tcPr>
        <w:tcBorders>
          <w:top w:val="double" w:color="8064A2" w:themeColor="accent4" w:sz="4" w:space="0"/>
        </w:tcBorders>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101">
    <w:name w:val="清单表 4 - 着色 41"/>
    <w:basedOn w:val="32"/>
    <w:uiPriority w:val="49"/>
    <w:tblPr>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tblBorders>
      <w:tblLayout w:type="fixed"/>
    </w:tblPr>
    <w:tblStylePr w:type="firstRow">
      <w:rPr>
        <w:b/>
        <w:bCs/>
        <w:color w:val="FFFFFF" w:themeColor="background1"/>
      </w:rPr>
      <w:tcPr>
        <w:tcBorders>
          <w:top w:val="single" w:color="8064A2" w:themeColor="accent4" w:sz="4" w:space="0"/>
          <w:left w:val="single" w:color="8064A2" w:themeColor="accent4" w:sz="4" w:space="0"/>
          <w:bottom w:val="single" w:color="8064A2" w:themeColor="accent4" w:sz="4" w:space="0"/>
          <w:right w:val="single" w:color="8064A2" w:themeColor="accent4" w:sz="4" w:space="0"/>
          <w:insideH w:val="nil"/>
        </w:tcBorders>
        <w:shd w:val="clear" w:color="auto" w:fill="8064A2" w:themeFill="accent4"/>
      </w:tcPr>
    </w:tblStylePr>
    <w:tblStylePr w:type="lastRow">
      <w:rPr>
        <w:b/>
        <w:bCs/>
      </w:rPr>
      <w:tcPr>
        <w:tcBorders>
          <w:top w:val="double" w:color="B2A1C7" w:themeColor="accent4" w:themeTint="99" w:sz="4" w:space="0"/>
        </w:tcBorders>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102">
    <w:name w:val="中科易研备用版"/>
    <w:basedOn w:val="101"/>
    <w:uiPriority w:val="99"/>
    <w:pPr>
      <w:jc w:val="center"/>
    </w:pPr>
    <w:rPr>
      <w:rFonts w:ascii="Times New Roman" w:hAnsi="Times New Roman" w:eastAsia="宋体"/>
    </w:rPr>
    <w:tblPr>
      <w:jc w:val="cente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Layout w:type="fixed"/>
    </w:tblPr>
    <w:trPr>
      <w:jc w:val="center"/>
    </w:trPr>
    <w:tcPr>
      <w:shd w:val="clear" w:color="auto" w:fill="auto"/>
      <w:vAlign w:val="center"/>
    </w:tcPr>
    <w:tblStylePr w:type="firstRow">
      <w:rPr>
        <w:b/>
        <w:bCs/>
        <w:color w:val="FFFFFF" w:themeColor="background1"/>
      </w:rPr>
      <w:tcPr>
        <w:tcBorders>
          <w:top w:val="single" w:color="8064A2" w:themeColor="accent4" w:sz="4" w:space="0"/>
          <w:left w:val="single" w:color="8064A2" w:themeColor="accent4" w:sz="4" w:space="0"/>
          <w:bottom w:val="single" w:color="8064A2" w:themeColor="accent4" w:sz="4" w:space="0"/>
          <w:right w:val="single" w:color="8064A2" w:themeColor="accent4" w:sz="4" w:space="0"/>
          <w:insideH w:val="nil"/>
        </w:tcBorders>
        <w:shd w:val="clear" w:color="auto" w:fill="8064A2" w:themeFill="accent4"/>
      </w:tcPr>
    </w:tblStylePr>
    <w:tblStylePr w:type="lastRow">
      <w:rPr>
        <w:b w:val="0"/>
        <w:bCs/>
      </w:rPr>
      <w:tcPr>
        <w:tcBorders>
          <w:top w:val="double" w:color="B2A1C7" w:themeColor="accent4" w:themeTint="99" w:sz="4" w:space="0"/>
        </w:tcBorders>
      </w:tcPr>
    </w:tblStylePr>
    <w:tblStylePr w:type="firstCol">
      <w:rPr>
        <w:b w:val="0"/>
        <w:bCs/>
      </w:rPr>
    </w:tblStylePr>
    <w:tblStylePr w:type="lastCol">
      <w:rPr>
        <w:b w:val="0"/>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103">
    <w:name w:val="清单表 5 深色 - 着色 51"/>
    <w:basedOn w:val="32"/>
    <w:qFormat/>
    <w:uiPriority w:val="50"/>
    <w:rPr>
      <w:color w:val="FFFFFF" w:themeColor="background1"/>
    </w:rPr>
    <w:tblPr>
      <w:tblBorders>
        <w:top w:val="single" w:color="4BACC6" w:themeColor="accent5" w:sz="24" w:space="0"/>
        <w:left w:val="single" w:color="4BACC6" w:themeColor="accent5" w:sz="24" w:space="0"/>
        <w:bottom w:val="single" w:color="4BACC6" w:themeColor="accent5" w:sz="24" w:space="0"/>
        <w:right w:val="single" w:color="4BACC6" w:themeColor="accent5" w:sz="24" w:space="0"/>
      </w:tblBorders>
      <w:tblLayout w:type="fixed"/>
    </w:tblPr>
    <w:tcPr>
      <w:shd w:val="clear" w:color="auto" w:fill="4BACC6" w:themeFill="accent5"/>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104">
    <w:name w:val="清单表 4 - 着色 11"/>
    <w:basedOn w:val="32"/>
    <w:qFormat/>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tblBorders>
      <w:tblLayout w:type="fixed"/>
    </w:tblPr>
    <w:tblStylePr w:type="firstRow">
      <w:rPr>
        <w:b/>
        <w:bCs/>
        <w:color w:val="FFFFFF" w:themeColor="background1"/>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tcBorders>
        <w:shd w:val="clear" w:color="auto" w:fill="4F81BD" w:themeFill="accent1"/>
      </w:tcPr>
    </w:tblStylePr>
    <w:tblStylePr w:type="lastRow">
      <w:rPr>
        <w:b/>
        <w:bCs/>
      </w:rPr>
      <w:tcPr>
        <w:tcBorders>
          <w:top w:val="doub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105">
    <w:name w:val="中科易研经典版"/>
    <w:basedOn w:val="102"/>
    <w:qFormat/>
    <w:uiPriority w:val="99"/>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Pr>
    <w:tcPr>
      <w:shd w:val="clear" w:color="auto" w:fill="auto"/>
    </w:tcPr>
    <w:tblStylePr w:type="firstRow">
      <w:pPr>
        <w:jc w:val="center"/>
      </w:pPr>
      <w:rPr>
        <w:rFonts w:eastAsia="宋体"/>
        <w:b/>
        <w:bCs/>
        <w:color w:val="FFFFFF" w:themeColor="background1"/>
        <w:sz w:val="21"/>
      </w:rPr>
      <w:tcPr>
        <w:tc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nil"/>
        </w:tcBorders>
        <w:shd w:val="clear" w:color="auto" w:fill="548DD4" w:themeFill="text2" w:themeFillTint="99"/>
      </w:tcPr>
    </w:tblStylePr>
    <w:tblStylePr w:type="lastRow">
      <w:rPr>
        <w:b w:val="0"/>
        <w:bCs/>
      </w:rPr>
      <w:tcPr>
        <w:tcBorders>
          <w:top w:val="double" w:color="B2A1C7" w:themeColor="accent4" w:themeTint="99" w:sz="4" w:space="0"/>
        </w:tcBorders>
      </w:tcPr>
    </w:tblStylePr>
    <w:tblStylePr w:type="firstCol">
      <w:pPr>
        <w:jc w:val="both"/>
      </w:pPr>
      <w:rPr>
        <w:rFonts w:ascii="Times New Roman" w:hAnsi="Times New Roman" w:eastAsia="宋体"/>
        <w:b w:val="0"/>
        <w:bCs/>
        <w:sz w:val="21"/>
      </w:rPr>
    </w:tblStylePr>
    <w:tblStylePr w:type="lastCol">
      <w:rPr>
        <w:b w:val="0"/>
        <w:bCs/>
      </w:rPr>
    </w:tblStylePr>
    <w:tblStylePr w:type="band1Vert">
      <w:tcPr>
        <w:shd w:val="clear" w:color="auto" w:fill="E5DFEC" w:themeFill="accent4" w:themeFillTint="33"/>
      </w:tcPr>
    </w:tblStylePr>
    <w:tblStylePr w:type="band1Horz">
      <w:rPr>
        <w:rFonts w:ascii="宋体" w:hAnsi="宋体" w:eastAsia="宋体"/>
        <w:sz w:val="21"/>
      </w:rPr>
      <w:tcPr>
        <w:shd w:val="clear" w:color="auto" w:fill="DBE5F1" w:themeFill="accent1" w:themeFillTint="33"/>
      </w:tcPr>
    </w:tblStylePr>
    <w:tblStylePr w:type="band2Horz">
      <w:rPr>
        <w:rFonts w:ascii="Times New Roman" w:hAnsi="Times New Roman" w:eastAsia="宋体"/>
        <w:sz w:val="21"/>
      </w:rPr>
    </w:tblStylePr>
  </w:style>
  <w:style w:type="paragraph" w:customStyle="1" w:styleId="106">
    <w:name w:val="Revision"/>
    <w:hidden/>
    <w:semiHidden/>
    <w:uiPriority w:val="99"/>
    <w:rPr>
      <w:rFonts w:asciiTheme="minorHAnsi" w:hAnsiTheme="minorHAnsi" w:eastAsiaTheme="minorEastAsia" w:cstheme="minorBidi"/>
      <w:kern w:val="2"/>
      <w:sz w:val="21"/>
      <w:szCs w:val="22"/>
      <w:lang w:val="en-US" w:eastAsia="zh-CN" w:bidi="ar-SA"/>
    </w:rPr>
  </w:style>
  <w:style w:type="paragraph" w:customStyle="1" w:styleId="107">
    <w:name w:val="FL图标题"/>
    <w:basedOn w:val="51"/>
    <w:link w:val="108"/>
    <w:qFormat/>
    <w:uiPriority w:val="0"/>
    <w:pPr>
      <w:numPr>
        <w:ilvl w:val="0"/>
        <w:numId w:val="2"/>
      </w:numPr>
      <w:adjustRightInd w:val="0"/>
      <w:snapToGrid w:val="0"/>
      <w:spacing w:beforeLines="50" w:afterLines="100"/>
      <w:ind w:left="652" w:hanging="652"/>
      <w:jc w:val="center"/>
    </w:pPr>
    <w:rPr>
      <w:color w:val="31849B" w:themeColor="accent5" w:themeShade="BF"/>
    </w:rPr>
  </w:style>
  <w:style w:type="character" w:customStyle="1" w:styleId="108">
    <w:name w:val="FL图标题 Char1"/>
    <w:basedOn w:val="52"/>
    <w:link w:val="107"/>
    <w:uiPriority w:val="0"/>
    <w:rPr>
      <w:rFonts w:ascii="Times New Roman" w:hAnsi="Times New Roman"/>
      <w:color w:val="31849B" w:themeColor="accent5" w:themeShade="BF"/>
    </w:rPr>
  </w:style>
  <w:style w:type="paragraph" w:customStyle="1" w:styleId="109">
    <w:name w:val="段落"/>
    <w:basedOn w:val="1"/>
    <w:link w:val="110"/>
    <w:qFormat/>
    <w:uiPriority w:val="0"/>
    <w:pPr>
      <w:tabs>
        <w:tab w:val="center" w:pos="4218"/>
        <w:tab w:val="left" w:pos="7183"/>
      </w:tabs>
      <w:spacing w:before="80" w:after="80"/>
      <w:jc w:val="left"/>
    </w:pPr>
    <w:rPr>
      <w:rFonts w:ascii="宋体" w:hAnsi="宋体" w:eastAsia="宋体" w:cs="Times New Roman"/>
      <w:b/>
      <w:kern w:val="0"/>
      <w:sz w:val="20"/>
      <w:szCs w:val="21"/>
    </w:rPr>
  </w:style>
  <w:style w:type="character" w:customStyle="1" w:styleId="110">
    <w:name w:val="段落 Char"/>
    <w:link w:val="109"/>
    <w:qFormat/>
    <w:uiPriority w:val="0"/>
    <w:rPr>
      <w:rFonts w:ascii="宋体" w:hAnsi="宋体" w:eastAsia="宋体" w:cs="Times New Roman"/>
      <w:b/>
      <w:kern w:val="0"/>
      <w:sz w:val="20"/>
      <w:szCs w:val="21"/>
    </w:rPr>
  </w:style>
  <w:style w:type="paragraph" w:customStyle="1" w:styleId="111">
    <w:name w:val="表格正文"/>
    <w:basedOn w:val="1"/>
    <w:link w:val="112"/>
    <w:qFormat/>
    <w:uiPriority w:val="0"/>
    <w:pPr>
      <w:ind w:left="-113" w:leftChars="-54" w:firstLine="2"/>
    </w:pPr>
    <w:rPr>
      <w:rFonts w:ascii="宋体" w:hAnsi="宋体" w:eastAsia="宋体" w:cs="Times New Roman"/>
      <w:kern w:val="0"/>
      <w:sz w:val="20"/>
      <w:szCs w:val="21"/>
    </w:rPr>
  </w:style>
  <w:style w:type="character" w:customStyle="1" w:styleId="112">
    <w:name w:val="表格正文 Char"/>
    <w:link w:val="111"/>
    <w:qFormat/>
    <w:uiPriority w:val="0"/>
    <w:rPr>
      <w:rFonts w:ascii="宋体" w:hAnsi="宋体" w:eastAsia="宋体" w:cs="Times New Roman"/>
      <w:kern w:val="0"/>
      <w:sz w:val="20"/>
      <w:szCs w:val="21"/>
    </w:rPr>
  </w:style>
  <w:style w:type="paragraph" w:customStyle="1" w:styleId="113">
    <w:name w:val="表格标题"/>
    <w:basedOn w:val="1"/>
    <w:link w:val="114"/>
    <w:qFormat/>
    <w:uiPriority w:val="0"/>
    <w:pPr>
      <w:spacing w:line="260" w:lineRule="exact"/>
    </w:pPr>
    <w:rPr>
      <w:rFonts w:ascii="Times New Roman" w:hAnsi="宋体" w:eastAsia="宋体" w:cs="Times New Roman"/>
      <w:kern w:val="0"/>
      <w:sz w:val="20"/>
      <w:szCs w:val="21"/>
    </w:rPr>
  </w:style>
  <w:style w:type="character" w:customStyle="1" w:styleId="114">
    <w:name w:val="表格标题 Char"/>
    <w:link w:val="113"/>
    <w:qFormat/>
    <w:uiPriority w:val="0"/>
    <w:rPr>
      <w:rFonts w:ascii="Times New Roman" w:hAnsi="宋体" w:eastAsia="宋体" w:cs="Times New Roman"/>
      <w:kern w:val="0"/>
      <w:sz w:val="20"/>
      <w:szCs w:val="21"/>
    </w:rPr>
  </w:style>
  <w:style w:type="character" w:customStyle="1" w:styleId="115">
    <w:name w:val="font81"/>
    <w:basedOn w:val="26"/>
    <w:uiPriority w:val="0"/>
    <w:rPr>
      <w:rFonts w:hint="eastAsia" w:ascii="宋体" w:hAnsi="宋体" w:eastAsia="宋体"/>
      <w:color w:val="000000"/>
      <w:sz w:val="21"/>
      <w:szCs w:val="21"/>
      <w:u w:val="none"/>
    </w:rPr>
  </w:style>
  <w:style w:type="character" w:customStyle="1" w:styleId="116">
    <w:name w:val="font51"/>
    <w:basedOn w:val="26"/>
    <w:uiPriority w:val="0"/>
    <w:rPr>
      <w:rFonts w:hint="default" w:ascii="Times New Roman" w:hAnsi="Times New Roman" w:cs="Times New Roman"/>
      <w:color w:val="000000"/>
      <w:sz w:val="21"/>
      <w:szCs w:val="21"/>
      <w:u w:val="none"/>
    </w:rPr>
  </w:style>
  <w:style w:type="character" w:customStyle="1" w:styleId="117">
    <w:name w:val="font161"/>
    <w:basedOn w:val="26"/>
    <w:uiPriority w:val="0"/>
    <w:rPr>
      <w:rFonts w:hint="eastAsia" w:ascii="等线" w:hAnsi="等线" w:eastAsia="等线"/>
      <w:color w:val="000000"/>
      <w:sz w:val="21"/>
      <w:szCs w:val="21"/>
      <w:u w:val="none"/>
    </w:rPr>
  </w:style>
  <w:style w:type="character" w:customStyle="1" w:styleId="118">
    <w:name w:val="font411"/>
    <w:basedOn w:val="26"/>
    <w:uiPriority w:val="0"/>
    <w:rPr>
      <w:rFonts w:hint="eastAsia" w:ascii="等线" w:hAnsi="等线" w:eastAsia="等线"/>
      <w:color w:val="000000"/>
      <w:sz w:val="21"/>
      <w:szCs w:val="21"/>
      <w:u w:val="none"/>
    </w:rPr>
  </w:style>
  <w:style w:type="character" w:customStyle="1" w:styleId="119">
    <w:name w:val="fontstyle01"/>
    <w:basedOn w:val="26"/>
    <w:uiPriority w:val="0"/>
    <w:rPr>
      <w:rFonts w:hint="eastAsia" w:ascii="宋体" w:hAnsi="宋体" w:eastAsia="宋体"/>
      <w:color w:val="000000"/>
      <w:sz w:val="22"/>
      <w:szCs w:val="22"/>
    </w:rPr>
  </w:style>
  <w:style w:type="character" w:customStyle="1" w:styleId="120">
    <w:name w:val="fontstyle21"/>
    <w:basedOn w:val="26"/>
    <w:uiPriority w:val="0"/>
    <w:rPr>
      <w:rFonts w:hint="default" w:ascii="Calibri" w:hAnsi="Calibri"/>
      <w:color w:val="000000"/>
      <w:sz w:val="22"/>
      <w:szCs w:val="22"/>
    </w:rPr>
  </w:style>
  <w:style w:type="paragraph" w:customStyle="1" w:styleId="121">
    <w:name w:val="FL标题4"/>
    <w:basedOn w:val="1"/>
    <w:link w:val="122"/>
    <w:qFormat/>
    <w:uiPriority w:val="0"/>
    <w:pPr>
      <w:topLinePunct/>
      <w:outlineLvl w:val="3"/>
    </w:pPr>
    <w:rPr>
      <w:rFonts w:eastAsia="黑体"/>
      <w:kern w:val="0"/>
      <w:sz w:val="28"/>
      <w:szCs w:val="28"/>
    </w:rPr>
  </w:style>
  <w:style w:type="character" w:customStyle="1" w:styleId="122">
    <w:name w:val="FL标题4 Char"/>
    <w:basedOn w:val="26"/>
    <w:link w:val="121"/>
    <w:uiPriority w:val="0"/>
    <w:rPr>
      <w:rFonts w:eastAsia="黑体"/>
      <w:kern w:val="0"/>
      <w:sz w:val="28"/>
      <w:szCs w:val="28"/>
    </w:rPr>
  </w:style>
  <w:style w:type="paragraph" w:customStyle="1" w:styleId="123">
    <w:name w:val="FL正文"/>
    <w:basedOn w:val="1"/>
    <w:link w:val="124"/>
    <w:qFormat/>
    <w:uiPriority w:val="0"/>
    <w:pPr>
      <w:topLinePunct/>
      <w:spacing w:line="360" w:lineRule="auto"/>
      <w:ind w:firstLine="200" w:firstLineChars="200"/>
    </w:pPr>
    <w:rPr>
      <w:rFonts w:ascii="Times New Roman" w:hAnsi="Times New Roman" w:eastAsia="宋体"/>
      <w:szCs w:val="24"/>
    </w:rPr>
  </w:style>
  <w:style w:type="character" w:customStyle="1" w:styleId="124">
    <w:name w:val="FL正文 Char"/>
    <w:basedOn w:val="26"/>
    <w:link w:val="123"/>
    <w:uiPriority w:val="0"/>
    <w:rPr>
      <w:rFonts w:ascii="Times New Roman" w:hAnsi="Times New Roman" w:eastAsia="宋体"/>
      <w:sz w:val="24"/>
      <w:szCs w:val="24"/>
    </w:rPr>
  </w:style>
  <w:style w:type="table" w:customStyle="1" w:styleId="125">
    <w:name w:val="网格表 4 - 着色 51"/>
    <w:basedOn w:val="32"/>
    <w:qFormat/>
    <w:uiPriority w:val="49"/>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Pr>
    <w:tblStylePr w:type="firstRow">
      <w:rPr>
        <w:b/>
        <w:bCs/>
        <w:color w:val="FFFFFF" w:themeColor="background1"/>
      </w:r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insideV w:val="nil"/>
        </w:tcBorders>
        <w:shd w:val="clear" w:color="auto" w:fill="4BACC6" w:themeFill="accent5"/>
      </w:tcPr>
    </w:tblStylePr>
    <w:tblStylePr w:type="lastRow">
      <w:rPr>
        <w:b/>
        <w:bCs/>
      </w:rPr>
      <w:tcPr>
        <w:tcBorders>
          <w:top w:val="double" w:color="4BACC6" w:themeColor="accent5"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126">
    <w:name w:val="清单表 4 - 着色 51"/>
    <w:basedOn w:val="32"/>
    <w:uiPriority w:val="49"/>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tblBorders>
      <w:tblLayout w:type="fixed"/>
    </w:tblPr>
    <w:tblStylePr w:type="firstRow">
      <w:rPr>
        <w:b/>
        <w:bCs/>
        <w:color w:val="FFFFFF" w:themeColor="background1"/>
      </w:r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tcBorders>
        <w:shd w:val="clear" w:color="auto" w:fill="4BACC6" w:themeFill="accent5"/>
      </w:tcPr>
    </w:tblStylePr>
    <w:tblStylePr w:type="lastRow">
      <w:rPr>
        <w:b/>
        <w:bCs/>
      </w:rPr>
      <w:tcPr>
        <w:tcBorders>
          <w:top w:val="doub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127">
    <w:name w:val="清单表 6 彩色 - 着色 61"/>
    <w:basedOn w:val="32"/>
    <w:uiPriority w:val="51"/>
    <w:rPr>
      <w:color w:val="E36C09" w:themeColor="accent6" w:themeShade="BF"/>
    </w:rPr>
    <w:tblPr>
      <w:tblBorders>
        <w:top w:val="single" w:color="F79646" w:themeColor="accent6" w:sz="4" w:space="0"/>
        <w:bottom w:val="single" w:color="F79646" w:themeColor="accent6" w:sz="4" w:space="0"/>
      </w:tblBorders>
      <w:tblLayout w:type="fixed"/>
    </w:tblPr>
    <w:tblStylePr w:type="firstRow">
      <w:rPr>
        <w:b/>
        <w:bCs/>
      </w:rPr>
      <w:tcPr>
        <w:tcBorders>
          <w:bottom w:val="single" w:color="F79646" w:themeColor="accent6" w:sz="4" w:space="0"/>
        </w:tcBorders>
      </w:tcPr>
    </w:tblStylePr>
    <w:tblStylePr w:type="lastRow">
      <w:rPr>
        <w:b/>
        <w:bCs/>
      </w:rPr>
      <w:tcPr>
        <w:tcBorders>
          <w:top w:val="double" w:color="F79646" w:themeColor="accent6"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128">
    <w:name w:val="网格表 4 - 着色 512"/>
    <w:basedOn w:val="32"/>
    <w:uiPriority w:val="49"/>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Pr>
    <w:tblStylePr w:type="firstRow">
      <w:rPr>
        <w:b/>
        <w:bCs/>
        <w:color w:val="FFFFFF" w:themeColor="background1"/>
      </w:r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insideV w:val="nil"/>
        </w:tcBorders>
        <w:shd w:val="clear" w:color="auto" w:fill="4BACC6" w:themeFill="accent5"/>
      </w:tcPr>
    </w:tblStylePr>
    <w:tblStylePr w:type="lastRow">
      <w:rPr>
        <w:b/>
        <w:bCs/>
      </w:rPr>
      <w:tcPr>
        <w:tcBorders>
          <w:top w:val="double" w:color="4BACC6" w:themeColor="accent5"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129">
    <w:name w:val="网格型1"/>
    <w:basedOn w:val="32"/>
    <w:uiPriority w:val="59"/>
    <w:pPr>
      <w:jc w:val="both"/>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
  </w:style>
  <w:style w:type="table" w:customStyle="1" w:styleId="130">
    <w:name w:val="网格表 5 深色 - 着色 12"/>
    <w:basedOn w:val="32"/>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Pr>
    <w:tcPr>
      <w:shd w:val="clear" w:color="auto" w:fill="DBE5F1" w:themeFill="accent1"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F81BD" w:themeFill="accent1"/>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F81BD" w:themeFill="accent1"/>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F81BD" w:themeFill="accent1"/>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F81BD" w:themeFill="accent1"/>
      </w:tcPr>
    </w:tblStylePr>
    <w:tblStylePr w:type="band1Vert">
      <w:tcPr>
        <w:shd w:val="clear" w:color="auto" w:fill="B8CCE4" w:themeFill="accent1" w:themeFillTint="66"/>
      </w:tcPr>
    </w:tblStylePr>
    <w:tblStylePr w:type="band1Horz">
      <w:tcPr>
        <w:shd w:val="clear" w:color="auto" w:fill="B8CCE4" w:themeFill="accent1" w:themeFillTint="66"/>
      </w:tcPr>
    </w:tblStylePr>
  </w:style>
  <w:style w:type="table" w:customStyle="1" w:styleId="131">
    <w:name w:val="网格表 6 彩色 - 着色 12"/>
    <w:basedOn w:val="32"/>
    <w:uiPriority w:val="51"/>
    <w:rPr>
      <w:color w:val="366091" w:themeColor="accent1" w:themeShade="BF"/>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fixed"/>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132">
    <w:name w:val="网格表 4 - 着色 12"/>
    <w:basedOn w:val="32"/>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fixed"/>
    </w:tblPr>
    <w:tblStylePr w:type="firstRow">
      <w:rPr>
        <w:b/>
        <w:bCs/>
        <w:color w:val="FFFFFF" w:themeColor="background1"/>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133">
    <w:name w:val="网格表 5 深色 - 着色 42"/>
    <w:basedOn w:val="32"/>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Pr>
    <w:tcPr>
      <w:shd w:val="clear" w:color="auto" w:fill="E5DFEC" w:themeFill="accent4"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8064A2" w:themeFill="accent4"/>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8064A2" w:themeFill="accent4"/>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8064A2" w:themeFill="accent4"/>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8064A2" w:themeFill="accent4"/>
      </w:tcPr>
    </w:tblStylePr>
    <w:tblStylePr w:type="band1Vert">
      <w:tcPr>
        <w:shd w:val="clear" w:color="auto" w:fill="CCC0D9" w:themeFill="accent4" w:themeFillTint="66"/>
      </w:tcPr>
    </w:tblStylePr>
    <w:tblStylePr w:type="band1Horz">
      <w:tcPr>
        <w:shd w:val="clear" w:color="auto" w:fill="CCC0D9" w:themeFill="accent4" w:themeFillTint="66"/>
      </w:tcPr>
    </w:tblStylePr>
  </w:style>
  <w:style w:type="table" w:customStyle="1" w:styleId="134">
    <w:name w:val="网格表 4 - 着色 42"/>
    <w:basedOn w:val="32"/>
    <w:uiPriority w:val="49"/>
    <w:tblPr>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insideV w:val="single" w:color="B2A1C7" w:themeColor="accent4" w:themeTint="99" w:sz="4" w:space="0"/>
      </w:tblBorders>
      <w:tblLayout w:type="fixed"/>
    </w:tblPr>
    <w:tblStylePr w:type="firstRow">
      <w:rPr>
        <w:b/>
        <w:bCs/>
        <w:color w:val="FFFFFF" w:themeColor="background1"/>
      </w:rPr>
      <w:tcPr>
        <w:tcBorders>
          <w:top w:val="single" w:color="8064A2" w:themeColor="accent4" w:sz="4" w:space="0"/>
          <w:left w:val="single" w:color="8064A2" w:themeColor="accent4" w:sz="4" w:space="0"/>
          <w:bottom w:val="single" w:color="8064A2" w:themeColor="accent4" w:sz="4" w:space="0"/>
          <w:right w:val="single" w:color="8064A2" w:themeColor="accent4" w:sz="4" w:space="0"/>
          <w:insideH w:val="nil"/>
          <w:insideV w:val="nil"/>
        </w:tcBorders>
        <w:shd w:val="clear" w:color="auto" w:fill="8064A2" w:themeFill="accent4"/>
      </w:tcPr>
    </w:tblStylePr>
    <w:tblStylePr w:type="lastRow">
      <w:rPr>
        <w:b/>
        <w:bCs/>
      </w:rPr>
      <w:tcPr>
        <w:tcBorders>
          <w:top w:val="double" w:color="8064A2" w:themeColor="accent4" w:sz="4" w:space="0"/>
        </w:tcBorders>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135">
    <w:name w:val="清单表 4 - 着色 42"/>
    <w:basedOn w:val="32"/>
    <w:uiPriority w:val="49"/>
    <w:tblPr>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tblBorders>
      <w:tblLayout w:type="fixed"/>
    </w:tblPr>
    <w:tblStylePr w:type="firstRow">
      <w:rPr>
        <w:b/>
        <w:bCs/>
        <w:color w:val="FFFFFF" w:themeColor="background1"/>
      </w:rPr>
      <w:tcPr>
        <w:tcBorders>
          <w:top w:val="single" w:color="8064A2" w:themeColor="accent4" w:sz="4" w:space="0"/>
          <w:left w:val="single" w:color="8064A2" w:themeColor="accent4" w:sz="4" w:space="0"/>
          <w:bottom w:val="single" w:color="8064A2" w:themeColor="accent4" w:sz="4" w:space="0"/>
          <w:right w:val="single" w:color="8064A2" w:themeColor="accent4" w:sz="4" w:space="0"/>
          <w:insideH w:val="nil"/>
        </w:tcBorders>
        <w:shd w:val="clear" w:color="auto" w:fill="8064A2" w:themeFill="accent4"/>
      </w:tcPr>
    </w:tblStylePr>
    <w:tblStylePr w:type="lastRow">
      <w:rPr>
        <w:b/>
        <w:bCs/>
      </w:rPr>
      <w:tcPr>
        <w:tcBorders>
          <w:top w:val="double" w:color="B2A1C7" w:themeColor="accent4" w:themeTint="99" w:sz="4" w:space="0"/>
        </w:tcBorders>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136">
    <w:name w:val="中科易研备用版1"/>
    <w:basedOn w:val="135"/>
    <w:qFormat/>
    <w:uiPriority w:val="99"/>
    <w:pPr>
      <w:jc w:val="center"/>
    </w:pPr>
    <w:rPr>
      <w:rFonts w:ascii="Times New Roman" w:hAnsi="Times New Roman" w:eastAsia="宋体"/>
    </w:rPr>
    <w:tblPr>
      <w:jc w:val="cente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Layout w:type="fixed"/>
    </w:tblPr>
    <w:trPr>
      <w:jc w:val="center"/>
    </w:trPr>
    <w:tcPr>
      <w:shd w:val="clear" w:color="auto" w:fill="auto"/>
      <w:vAlign w:val="center"/>
    </w:tcPr>
    <w:tblStylePr w:type="firstRow">
      <w:rPr>
        <w:b/>
        <w:bCs/>
        <w:color w:val="FFFFFF" w:themeColor="background1"/>
      </w:rPr>
      <w:tcPr>
        <w:tcBorders>
          <w:top w:val="single" w:color="8064A2" w:themeColor="accent4" w:sz="4" w:space="0"/>
          <w:left w:val="single" w:color="8064A2" w:themeColor="accent4" w:sz="4" w:space="0"/>
          <w:bottom w:val="single" w:color="8064A2" w:themeColor="accent4" w:sz="4" w:space="0"/>
          <w:right w:val="single" w:color="8064A2" w:themeColor="accent4" w:sz="4" w:space="0"/>
          <w:insideH w:val="nil"/>
        </w:tcBorders>
        <w:shd w:val="clear" w:color="auto" w:fill="8064A2" w:themeFill="accent4"/>
      </w:tcPr>
    </w:tblStylePr>
    <w:tblStylePr w:type="lastRow">
      <w:rPr>
        <w:b w:val="0"/>
        <w:bCs/>
      </w:rPr>
      <w:tcPr>
        <w:tcBorders>
          <w:top w:val="double" w:color="B2A1C7" w:themeColor="accent4" w:themeTint="99" w:sz="4" w:space="0"/>
        </w:tcBorders>
      </w:tcPr>
    </w:tblStylePr>
    <w:tblStylePr w:type="firstCol">
      <w:rPr>
        <w:b w:val="0"/>
        <w:bCs/>
      </w:rPr>
    </w:tblStylePr>
    <w:tblStylePr w:type="lastCol">
      <w:rPr>
        <w:b w:val="0"/>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137">
    <w:name w:val="彩色网格 - 着色 41"/>
    <w:basedOn w:val="32"/>
    <w:unhideWhenUsed/>
    <w:uiPriority w:val="73"/>
    <w:rPr>
      <w:color w:val="000000" w:themeColor="text1"/>
    </w:rPr>
    <w:tblPr>
      <w:tblBorders>
        <w:insideH w:val="single" w:color="FFFFFF" w:themeColor="background1" w:sz="4" w:space="0"/>
      </w:tblBorders>
      <w:tblLayout w:type="fixed"/>
    </w:tblPr>
    <w:tcPr>
      <w:shd w:val="clear" w:color="auto" w:fill="E5DFEC" w:themeFill="accent4" w:themeFillTint="33"/>
    </w:tcPr>
    <w:tblStylePr w:type="firstRow">
      <w:rPr>
        <w:b/>
        <w:bCs/>
      </w:rPr>
      <w:tcPr>
        <w:shd w:val="clear" w:color="auto" w:fill="CCC0D9" w:themeFill="accent4" w:themeFillTint="66"/>
      </w:tcPr>
    </w:tblStylePr>
    <w:tblStylePr w:type="lastRow">
      <w:rPr>
        <w:b/>
        <w:bCs/>
        <w:color w:val="000000" w:themeColor="text1"/>
      </w:rPr>
      <w:tcPr>
        <w:shd w:val="clear" w:color="auto" w:fill="CCC0D9" w:themeFill="accent4" w:themeFillTint="66"/>
      </w:tcPr>
    </w:tblStylePr>
    <w:tblStylePr w:type="firstCol">
      <w:rPr>
        <w:color w:val="FFFFFF" w:themeColor="background1"/>
      </w:rPr>
      <w:tcPr>
        <w:shd w:val="clear" w:color="auto" w:fill="5F497A" w:themeFill="accent4" w:themeFillShade="BF"/>
      </w:tcPr>
    </w:tblStylePr>
    <w:tblStylePr w:type="lastCol">
      <w:rPr>
        <w:color w:val="FFFFFF" w:themeColor="background1"/>
      </w:rPr>
      <w:tcPr>
        <w:shd w:val="clear" w:color="auto" w:fill="5F497A" w:themeFill="accent4" w:themeFillShade="BF"/>
      </w:tcPr>
    </w:tblStylePr>
    <w:tblStylePr w:type="band1Vert">
      <w:tcPr>
        <w:shd w:val="clear" w:color="auto" w:fill="BFB1D0" w:themeFill="accent4" w:themeFillTint="7F"/>
      </w:tcPr>
    </w:tblStylePr>
    <w:tblStylePr w:type="band1Horz">
      <w:tcPr>
        <w:shd w:val="clear" w:color="auto" w:fill="BFB1D0" w:themeFill="accent4" w:themeFillTint="7F"/>
      </w:tcPr>
    </w:tblStylePr>
  </w:style>
  <w:style w:type="table" w:customStyle="1" w:styleId="138">
    <w:name w:val="清单表 5 深色 - 着色 52"/>
    <w:basedOn w:val="32"/>
    <w:uiPriority w:val="50"/>
    <w:rPr>
      <w:color w:val="FFFFFF" w:themeColor="background1"/>
    </w:rPr>
    <w:tblPr>
      <w:tblBorders>
        <w:top w:val="single" w:color="4BACC6" w:themeColor="accent5" w:sz="24" w:space="0"/>
        <w:left w:val="single" w:color="4BACC6" w:themeColor="accent5" w:sz="24" w:space="0"/>
        <w:bottom w:val="single" w:color="4BACC6" w:themeColor="accent5" w:sz="24" w:space="0"/>
        <w:right w:val="single" w:color="4BACC6" w:themeColor="accent5" w:sz="24" w:space="0"/>
      </w:tblBorders>
      <w:tblLayout w:type="fixed"/>
    </w:tblPr>
    <w:tcPr>
      <w:shd w:val="clear" w:color="auto" w:fill="4BACC6" w:themeFill="accent5"/>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139">
    <w:name w:val="清单表 4 - 着色 12"/>
    <w:basedOn w:val="32"/>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tblBorders>
      <w:tblLayout w:type="fixed"/>
    </w:tblPr>
    <w:tblStylePr w:type="firstRow">
      <w:rPr>
        <w:b/>
        <w:bCs/>
        <w:color w:val="FFFFFF" w:themeColor="background1"/>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tcBorders>
        <w:shd w:val="clear" w:color="auto" w:fill="4F81BD" w:themeFill="accent1"/>
      </w:tcPr>
    </w:tblStylePr>
    <w:tblStylePr w:type="lastRow">
      <w:rPr>
        <w:b/>
        <w:bCs/>
      </w:rPr>
      <w:tcPr>
        <w:tcBorders>
          <w:top w:val="doub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140">
    <w:name w:val="中科易研经典版1"/>
    <w:basedOn w:val="102"/>
    <w:uiPriority w:val="99"/>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Pr>
    <w:tcPr>
      <w:shd w:val="clear" w:color="auto" w:fill="auto"/>
    </w:tcPr>
    <w:tblStylePr w:type="firstRow">
      <w:pPr>
        <w:jc w:val="center"/>
      </w:pPr>
      <w:rPr>
        <w:rFonts w:eastAsia="宋体"/>
        <w:b/>
        <w:bCs/>
        <w:color w:val="FFFFFF" w:themeColor="background1"/>
        <w:sz w:val="21"/>
      </w:rPr>
      <w:tcPr>
        <w:tc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nil"/>
        </w:tcBorders>
        <w:shd w:val="clear" w:color="auto" w:fill="548DD4" w:themeFill="text2" w:themeFillTint="99"/>
      </w:tcPr>
    </w:tblStylePr>
    <w:tblStylePr w:type="lastRow">
      <w:rPr>
        <w:b w:val="0"/>
        <w:bCs/>
      </w:rPr>
      <w:tcPr>
        <w:tcBorders>
          <w:top w:val="double" w:color="B2A1C7" w:themeColor="accent4" w:themeTint="99" w:sz="4" w:space="0"/>
        </w:tcBorders>
      </w:tcPr>
    </w:tblStylePr>
    <w:tblStylePr w:type="firstCol">
      <w:pPr>
        <w:jc w:val="both"/>
      </w:pPr>
      <w:rPr>
        <w:rFonts w:ascii="Times New Roman" w:hAnsi="Times New Roman" w:eastAsia="宋体"/>
        <w:b w:val="0"/>
        <w:bCs/>
        <w:sz w:val="21"/>
      </w:rPr>
    </w:tblStylePr>
    <w:tblStylePr w:type="lastCol">
      <w:rPr>
        <w:b w:val="0"/>
        <w:bCs/>
      </w:rPr>
    </w:tblStylePr>
    <w:tblStylePr w:type="band1Vert">
      <w:tcPr>
        <w:shd w:val="clear" w:color="auto" w:fill="E5DFEC" w:themeFill="accent4" w:themeFillTint="33"/>
      </w:tcPr>
    </w:tblStylePr>
    <w:tblStylePr w:type="band1Horz">
      <w:rPr>
        <w:rFonts w:ascii="宋体" w:hAnsi="宋体" w:eastAsia="宋体"/>
        <w:sz w:val="21"/>
      </w:rPr>
      <w:tcPr>
        <w:shd w:val="clear" w:color="auto" w:fill="DBE5F1" w:themeFill="accent1" w:themeFillTint="33"/>
      </w:tcPr>
    </w:tblStylePr>
    <w:tblStylePr w:type="band2Horz">
      <w:rPr>
        <w:rFonts w:ascii="Times New Roman" w:hAnsi="Times New Roman" w:eastAsia="宋体"/>
        <w:sz w:val="21"/>
      </w:rPr>
    </w:tblStylePr>
  </w:style>
  <w:style w:type="table" w:customStyle="1" w:styleId="141">
    <w:name w:val="网格表 4 - 着色 52"/>
    <w:basedOn w:val="32"/>
    <w:uiPriority w:val="49"/>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Pr>
    <w:tblStylePr w:type="firstRow">
      <w:rPr>
        <w:b/>
        <w:bCs/>
        <w:color w:val="FFFFFF" w:themeColor="background1"/>
      </w:r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insideV w:val="nil"/>
        </w:tcBorders>
        <w:shd w:val="clear" w:color="auto" w:fill="4BACC6" w:themeFill="accent5"/>
      </w:tcPr>
    </w:tblStylePr>
    <w:tblStylePr w:type="lastRow">
      <w:rPr>
        <w:b/>
        <w:bCs/>
      </w:rPr>
      <w:tcPr>
        <w:tcBorders>
          <w:top w:val="double" w:color="4BACC6" w:themeColor="accent5"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142">
    <w:name w:val="清单表 4 - 着色 52"/>
    <w:basedOn w:val="32"/>
    <w:uiPriority w:val="49"/>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tblBorders>
      <w:tblLayout w:type="fixed"/>
    </w:tblPr>
    <w:tblStylePr w:type="firstRow">
      <w:rPr>
        <w:b/>
        <w:bCs/>
        <w:color w:val="FFFFFF" w:themeColor="background1"/>
      </w:r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tcBorders>
        <w:shd w:val="clear" w:color="auto" w:fill="4BACC6" w:themeFill="accent5"/>
      </w:tcPr>
    </w:tblStylePr>
    <w:tblStylePr w:type="lastRow">
      <w:rPr>
        <w:b/>
        <w:bCs/>
      </w:rPr>
      <w:tcPr>
        <w:tcBorders>
          <w:top w:val="doub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143">
    <w:name w:val="清单表 6 彩色 - 着色 611"/>
    <w:basedOn w:val="32"/>
    <w:uiPriority w:val="51"/>
    <w:rPr>
      <w:color w:val="E36C09" w:themeColor="accent6" w:themeShade="BF"/>
    </w:rPr>
    <w:tblPr>
      <w:tblBorders>
        <w:top w:val="single" w:color="F79646" w:themeColor="accent6" w:sz="4" w:space="0"/>
        <w:bottom w:val="single" w:color="F79646" w:themeColor="accent6" w:sz="4" w:space="0"/>
      </w:tblBorders>
      <w:tblLayout w:type="fixed"/>
    </w:tblPr>
    <w:tblStylePr w:type="firstRow">
      <w:rPr>
        <w:b/>
        <w:bCs/>
      </w:rPr>
      <w:tcPr>
        <w:tcBorders>
          <w:bottom w:val="single" w:color="F79646" w:themeColor="accent6" w:sz="4" w:space="0"/>
        </w:tcBorders>
      </w:tcPr>
    </w:tblStylePr>
    <w:tblStylePr w:type="lastRow">
      <w:rPr>
        <w:b/>
        <w:bCs/>
      </w:rPr>
      <w:tcPr>
        <w:tcBorders>
          <w:top w:val="double" w:color="F79646" w:themeColor="accent6"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144">
    <w:name w:val="网格表 4 - 着色 511"/>
    <w:basedOn w:val="32"/>
    <w:uiPriority w:val="49"/>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Pr>
    <w:tblStylePr w:type="firstRow">
      <w:rPr>
        <w:b/>
        <w:bCs/>
        <w:color w:val="FFFFFF" w:themeColor="background1"/>
      </w:r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insideV w:val="nil"/>
        </w:tcBorders>
        <w:shd w:val="clear" w:color="auto" w:fill="4BACC6" w:themeFill="accent5"/>
      </w:tcPr>
    </w:tblStylePr>
    <w:tblStylePr w:type="lastRow">
      <w:rPr>
        <w:b/>
        <w:bCs/>
      </w:rPr>
      <w:tcPr>
        <w:tcBorders>
          <w:top w:val="double" w:color="4BACC6" w:themeColor="accent5"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character" w:customStyle="1" w:styleId="145">
    <w:name w:val="FL标题1 Char"/>
    <w:basedOn w:val="26"/>
    <w:uiPriority w:val="0"/>
    <w:rPr>
      <w:rFonts w:ascii="黑体" w:hAnsi="黑体" w:eastAsia="黑体"/>
      <w:b/>
      <w:color w:val="E36C09" w:themeColor="accent6" w:themeShade="BF"/>
      <w:sz w:val="44"/>
      <w:szCs w:val="44"/>
    </w:rPr>
  </w:style>
  <w:style w:type="character" w:customStyle="1" w:styleId="146">
    <w:name w:val="FL标题2 Char"/>
    <w:basedOn w:val="26"/>
    <w:uiPriority w:val="0"/>
    <w:rPr>
      <w:b/>
      <w:color w:val="E36C09" w:themeColor="accent6" w:themeShade="BF"/>
      <w:sz w:val="32"/>
      <w:szCs w:val="32"/>
    </w:rPr>
  </w:style>
  <w:style w:type="character" w:customStyle="1" w:styleId="147">
    <w:name w:val="FL标题3 Char"/>
    <w:basedOn w:val="26"/>
    <w:uiPriority w:val="0"/>
    <w:rPr>
      <w:rFonts w:eastAsia="黑体"/>
      <w:sz w:val="28"/>
      <w:szCs w:val="28"/>
    </w:rPr>
  </w:style>
  <w:style w:type="character" w:customStyle="1" w:styleId="148">
    <w:name w:val="FL图标题 Char"/>
    <w:basedOn w:val="52"/>
    <w:uiPriority w:val="0"/>
    <w:rPr>
      <w:rFonts w:ascii="Times New Roman" w:hAnsi="Times New Roman"/>
      <w:color w:val="E36C09" w:themeColor="accent6" w:themeShade="BF"/>
    </w:rPr>
  </w:style>
  <w:style w:type="table" w:customStyle="1" w:styleId="149">
    <w:name w:val="浅色底纹1"/>
    <w:basedOn w:val="32"/>
    <w:uiPriority w:val="0"/>
    <w:rPr>
      <w:color w:val="000000" w:themeColor="text1" w:themeShade="BF"/>
    </w:rPr>
    <w:tblPr>
      <w:tblBorders>
        <w:top w:val="single" w:color="000000" w:themeColor="text1" w:sz="8" w:space="0"/>
        <w:bottom w:val="single" w:color="000000" w:themeColor="text1" w:sz="8" w:space="0"/>
      </w:tblBorders>
      <w:tblLayout w:type="fixed"/>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customStyle="1" w:styleId="150">
    <w:name w:val="FL标题5"/>
    <w:basedOn w:val="121"/>
    <w:next w:val="123"/>
    <w:link w:val="151"/>
    <w:qFormat/>
    <w:uiPriority w:val="0"/>
    <w:pPr>
      <w:spacing w:line="300" w:lineRule="auto"/>
      <w:outlineLvl w:val="4"/>
    </w:pPr>
    <w:rPr>
      <w:rFonts w:ascii="黑体" w:hAnsi="黑体" w:cs="Times New Roman"/>
      <w:sz w:val="24"/>
      <w:szCs w:val="24"/>
    </w:rPr>
  </w:style>
  <w:style w:type="character" w:customStyle="1" w:styleId="151">
    <w:name w:val="FL标题5 Char"/>
    <w:basedOn w:val="122"/>
    <w:link w:val="150"/>
    <w:uiPriority w:val="0"/>
    <w:rPr>
      <w:rFonts w:ascii="黑体" w:hAnsi="黑体" w:eastAsia="黑体" w:cs="Times New Roman"/>
      <w:kern w:val="0"/>
      <w:sz w:val="24"/>
      <w:szCs w:val="24"/>
    </w:rPr>
  </w:style>
  <w:style w:type="table" w:customStyle="1" w:styleId="152">
    <w:name w:val="样式1"/>
    <w:basedOn w:val="32"/>
    <w:qFormat/>
    <w:uiPriority w:val="99"/>
    <w:tblPr>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Pr>
  </w:style>
  <w:style w:type="character" w:customStyle="1" w:styleId="153">
    <w:name w:val="@他1"/>
    <w:basedOn w:val="26"/>
    <w:unhideWhenUsed/>
    <w:uiPriority w:val="99"/>
    <w:rPr>
      <w:color w:val="2B579A"/>
      <w:shd w:val="clear" w:color="auto" w:fill="E6E6E6"/>
    </w:rPr>
  </w:style>
  <w:style w:type="table" w:customStyle="1" w:styleId="154">
    <w:name w:val="网格型2"/>
    <w:basedOn w:val="32"/>
    <w:uiPriority w:val="59"/>
    <w:pPr>
      <w:jc w:val="both"/>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
  </w:style>
  <w:style w:type="table" w:customStyle="1" w:styleId="155">
    <w:name w:val="浅色底纹11"/>
    <w:basedOn w:val="32"/>
    <w:uiPriority w:val="0"/>
    <w:rPr>
      <w:color w:val="000000" w:themeColor="text1" w:themeShade="BF"/>
    </w:rPr>
    <w:tblPr>
      <w:tblBorders>
        <w:top w:val="single" w:color="000000" w:themeColor="text1" w:sz="8" w:space="0"/>
        <w:bottom w:val="single" w:color="000000" w:themeColor="text1" w:sz="8" w:space="0"/>
      </w:tblBorders>
      <w:tblLayout w:type="fixed"/>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table" w:customStyle="1" w:styleId="156">
    <w:name w:val="样式11"/>
    <w:basedOn w:val="32"/>
    <w:qFormat/>
    <w:uiPriority w:val="99"/>
    <w:tblPr>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dashSmallGap" w:color="76923C" w:themeColor="accent3" w:themeShade="BF" w:sz="4" w:space="0"/>
      </w:tblBorders>
      <w:tblLayout w:type="fixed"/>
    </w:tblPr>
  </w:style>
  <w:style w:type="table" w:customStyle="1" w:styleId="157">
    <w:name w:val="网格表 4 - 着色 513"/>
    <w:basedOn w:val="32"/>
    <w:uiPriority w:val="49"/>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Pr>
    <w:tblStylePr w:type="firstRow">
      <w:rPr>
        <w:b/>
        <w:bCs/>
        <w:color w:val="FFFFFF" w:themeColor="background1"/>
      </w:r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insideV w:val="nil"/>
        </w:tcBorders>
        <w:shd w:val="clear" w:color="auto" w:fill="4BACC6" w:themeFill="accent5"/>
      </w:tcPr>
    </w:tblStylePr>
    <w:tblStylePr w:type="lastRow">
      <w:rPr>
        <w:b/>
        <w:bCs/>
      </w:rPr>
      <w:tcPr>
        <w:tcBorders>
          <w:top w:val="double" w:color="4BACC6" w:themeColor="accent5"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158">
    <w:name w:val="清单表 4 - 着色 511"/>
    <w:basedOn w:val="32"/>
    <w:uiPriority w:val="49"/>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tblBorders>
      <w:tblLayout w:type="fixed"/>
    </w:tblPr>
    <w:tblStylePr w:type="firstRow">
      <w:rPr>
        <w:b/>
        <w:bCs/>
        <w:color w:val="FFFFFF" w:themeColor="background1"/>
      </w:r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tcBorders>
        <w:shd w:val="clear" w:color="auto" w:fill="4BACC6" w:themeFill="accent5"/>
      </w:tcPr>
    </w:tblStylePr>
    <w:tblStylePr w:type="lastRow">
      <w:rPr>
        <w:b/>
        <w:bCs/>
      </w:rPr>
      <w:tcPr>
        <w:tcBorders>
          <w:top w:val="doub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character" w:customStyle="1" w:styleId="159">
    <w:name w:val="FL图标题 字符"/>
    <w:basedOn w:val="52"/>
    <w:uiPriority w:val="0"/>
    <w:rPr>
      <w:rFonts w:ascii="Times New Roman" w:hAnsi="Times New Roman"/>
      <w:color w:val="31849B" w:themeColor="accent5" w:themeShade="BF"/>
    </w:rPr>
  </w:style>
  <w:style w:type="character" w:customStyle="1" w:styleId="160">
    <w:name w:val="未处理的提及1"/>
    <w:basedOn w:val="26"/>
    <w:unhideWhenUsed/>
    <w:uiPriority w:val="99"/>
    <w:rPr>
      <w:color w:val="808080"/>
      <w:shd w:val="clear" w:color="auto" w:fill="E6E6E6"/>
    </w:rPr>
  </w:style>
</w:styles>
</file>

<file path=word/_rels/document.xml.rels><?xml version="1.0" encoding="UTF-8" standalone="yes"?>
<Relationships xmlns="http://schemas.openxmlformats.org/package/2006/relationships"><Relationship Id="rId99" Type="http://schemas.openxmlformats.org/officeDocument/2006/relationships/chart" Target="charts/chart82.xml"/><Relationship Id="rId98" Type="http://schemas.openxmlformats.org/officeDocument/2006/relationships/chart" Target="charts/chart81.xml"/><Relationship Id="rId97" Type="http://schemas.openxmlformats.org/officeDocument/2006/relationships/chart" Target="charts/chart80.xml"/><Relationship Id="rId96" Type="http://schemas.openxmlformats.org/officeDocument/2006/relationships/chart" Target="charts/chart79.xml"/><Relationship Id="rId95" Type="http://schemas.openxmlformats.org/officeDocument/2006/relationships/chart" Target="charts/chart78.xml"/><Relationship Id="rId94" Type="http://schemas.openxmlformats.org/officeDocument/2006/relationships/chart" Target="charts/chart77.xml"/><Relationship Id="rId93" Type="http://schemas.openxmlformats.org/officeDocument/2006/relationships/chart" Target="charts/chart76.xml"/><Relationship Id="rId92" Type="http://schemas.openxmlformats.org/officeDocument/2006/relationships/chart" Target="charts/chart75.xml"/><Relationship Id="rId91" Type="http://schemas.openxmlformats.org/officeDocument/2006/relationships/chart" Target="charts/chart74.xml"/><Relationship Id="rId90" Type="http://schemas.openxmlformats.org/officeDocument/2006/relationships/chart" Target="charts/chart73.xml"/><Relationship Id="rId9" Type="http://schemas.openxmlformats.org/officeDocument/2006/relationships/footer" Target="footer5.xml"/><Relationship Id="rId89" Type="http://schemas.openxmlformats.org/officeDocument/2006/relationships/chart" Target="charts/chart72.xml"/><Relationship Id="rId88" Type="http://schemas.openxmlformats.org/officeDocument/2006/relationships/chart" Target="charts/chart71.xml"/><Relationship Id="rId87" Type="http://schemas.openxmlformats.org/officeDocument/2006/relationships/chart" Target="charts/chart70.xml"/><Relationship Id="rId86" Type="http://schemas.openxmlformats.org/officeDocument/2006/relationships/chart" Target="charts/chart69.xml"/><Relationship Id="rId85" Type="http://schemas.openxmlformats.org/officeDocument/2006/relationships/chart" Target="charts/chart68.xml"/><Relationship Id="rId84" Type="http://schemas.openxmlformats.org/officeDocument/2006/relationships/chart" Target="charts/chart67.xml"/><Relationship Id="rId83" Type="http://schemas.openxmlformats.org/officeDocument/2006/relationships/chart" Target="charts/chart66.xml"/><Relationship Id="rId82" Type="http://schemas.openxmlformats.org/officeDocument/2006/relationships/chart" Target="charts/chart65.xml"/><Relationship Id="rId81" Type="http://schemas.openxmlformats.org/officeDocument/2006/relationships/chart" Target="charts/chart64.xml"/><Relationship Id="rId80" Type="http://schemas.openxmlformats.org/officeDocument/2006/relationships/chart" Target="charts/chart63.xml"/><Relationship Id="rId8" Type="http://schemas.openxmlformats.org/officeDocument/2006/relationships/footer" Target="footer4.xml"/><Relationship Id="rId79" Type="http://schemas.openxmlformats.org/officeDocument/2006/relationships/chart" Target="charts/chart62.xml"/><Relationship Id="rId78" Type="http://schemas.openxmlformats.org/officeDocument/2006/relationships/chart" Target="charts/chart61.xml"/><Relationship Id="rId77" Type="http://schemas.openxmlformats.org/officeDocument/2006/relationships/chart" Target="charts/chart60.xml"/><Relationship Id="rId76" Type="http://schemas.openxmlformats.org/officeDocument/2006/relationships/chart" Target="charts/chart59.xml"/><Relationship Id="rId75" Type="http://schemas.openxmlformats.org/officeDocument/2006/relationships/chart" Target="charts/chart58.xml"/><Relationship Id="rId74" Type="http://schemas.openxmlformats.org/officeDocument/2006/relationships/chart" Target="charts/chart57.xml"/><Relationship Id="rId73" Type="http://schemas.openxmlformats.org/officeDocument/2006/relationships/chart" Target="charts/chart56.xml"/><Relationship Id="rId72" Type="http://schemas.openxmlformats.org/officeDocument/2006/relationships/chart" Target="charts/chart55.xml"/><Relationship Id="rId71" Type="http://schemas.openxmlformats.org/officeDocument/2006/relationships/chart" Target="charts/chart54.xml"/><Relationship Id="rId70" Type="http://schemas.openxmlformats.org/officeDocument/2006/relationships/chart" Target="charts/chart53.xml"/><Relationship Id="rId7" Type="http://schemas.openxmlformats.org/officeDocument/2006/relationships/footer" Target="footer3.xml"/><Relationship Id="rId69" Type="http://schemas.openxmlformats.org/officeDocument/2006/relationships/image" Target="media/image7.png"/><Relationship Id="rId68" Type="http://schemas.openxmlformats.org/officeDocument/2006/relationships/image" Target="media/image6.png"/><Relationship Id="rId67" Type="http://schemas.openxmlformats.org/officeDocument/2006/relationships/image" Target="media/image5.png"/><Relationship Id="rId66" Type="http://schemas.openxmlformats.org/officeDocument/2006/relationships/image" Target="media/image4.png"/><Relationship Id="rId65" Type="http://schemas.openxmlformats.org/officeDocument/2006/relationships/image" Target="media/image3.png"/><Relationship Id="rId64" Type="http://schemas.openxmlformats.org/officeDocument/2006/relationships/chart" Target="charts/chart52.xml"/><Relationship Id="rId63" Type="http://schemas.openxmlformats.org/officeDocument/2006/relationships/chart" Target="charts/chart51.xml"/><Relationship Id="rId62" Type="http://schemas.openxmlformats.org/officeDocument/2006/relationships/chart" Target="charts/chart50.xml"/><Relationship Id="rId61" Type="http://schemas.openxmlformats.org/officeDocument/2006/relationships/chart" Target="charts/chart49.xml"/><Relationship Id="rId60" Type="http://schemas.openxmlformats.org/officeDocument/2006/relationships/chart" Target="charts/chart48.xml"/><Relationship Id="rId6" Type="http://schemas.openxmlformats.org/officeDocument/2006/relationships/footer" Target="footer2.xml"/><Relationship Id="rId59" Type="http://schemas.openxmlformats.org/officeDocument/2006/relationships/chart" Target="charts/chart47.xml"/><Relationship Id="rId58" Type="http://schemas.openxmlformats.org/officeDocument/2006/relationships/chart" Target="charts/chart46.xml"/><Relationship Id="rId57" Type="http://schemas.openxmlformats.org/officeDocument/2006/relationships/chart" Target="charts/chart45.xml"/><Relationship Id="rId56" Type="http://schemas.openxmlformats.org/officeDocument/2006/relationships/chart" Target="charts/chart44.xml"/><Relationship Id="rId55" Type="http://schemas.openxmlformats.org/officeDocument/2006/relationships/chart" Target="charts/chart43.xml"/><Relationship Id="rId54" Type="http://schemas.openxmlformats.org/officeDocument/2006/relationships/chart" Target="charts/chart42.xml"/><Relationship Id="rId53" Type="http://schemas.openxmlformats.org/officeDocument/2006/relationships/chart" Target="charts/chart41.xml"/><Relationship Id="rId52" Type="http://schemas.openxmlformats.org/officeDocument/2006/relationships/chart" Target="charts/chart40.xml"/><Relationship Id="rId51" Type="http://schemas.openxmlformats.org/officeDocument/2006/relationships/chart" Target="charts/chart39.xml"/><Relationship Id="rId50" Type="http://schemas.openxmlformats.org/officeDocument/2006/relationships/chart" Target="charts/chart38.xml"/><Relationship Id="rId5" Type="http://schemas.openxmlformats.org/officeDocument/2006/relationships/footer" Target="footer1.xml"/><Relationship Id="rId49" Type="http://schemas.openxmlformats.org/officeDocument/2006/relationships/chart" Target="charts/chart37.xml"/><Relationship Id="rId48" Type="http://schemas.openxmlformats.org/officeDocument/2006/relationships/chart" Target="charts/chart36.xml"/><Relationship Id="rId47" Type="http://schemas.openxmlformats.org/officeDocument/2006/relationships/chart" Target="charts/chart35.xml"/><Relationship Id="rId46" Type="http://schemas.openxmlformats.org/officeDocument/2006/relationships/chart" Target="charts/chart34.xml"/><Relationship Id="rId45" Type="http://schemas.openxmlformats.org/officeDocument/2006/relationships/chart" Target="charts/chart33.xml"/><Relationship Id="rId44" Type="http://schemas.openxmlformats.org/officeDocument/2006/relationships/chart" Target="charts/chart32.xml"/><Relationship Id="rId43" Type="http://schemas.openxmlformats.org/officeDocument/2006/relationships/chart" Target="charts/chart31.xml"/><Relationship Id="rId42" Type="http://schemas.openxmlformats.org/officeDocument/2006/relationships/chart" Target="charts/chart30.xml"/><Relationship Id="rId41" Type="http://schemas.openxmlformats.org/officeDocument/2006/relationships/chart" Target="charts/chart29.xml"/><Relationship Id="rId40" Type="http://schemas.openxmlformats.org/officeDocument/2006/relationships/chart" Target="charts/chart28.xml"/><Relationship Id="rId4" Type="http://schemas.openxmlformats.org/officeDocument/2006/relationships/header" Target="header1.xml"/><Relationship Id="rId39" Type="http://schemas.openxmlformats.org/officeDocument/2006/relationships/chart" Target="charts/chart27.xml"/><Relationship Id="rId38" Type="http://schemas.openxmlformats.org/officeDocument/2006/relationships/chart" Target="charts/chart26.xml"/><Relationship Id="rId37" Type="http://schemas.openxmlformats.org/officeDocument/2006/relationships/chart" Target="charts/chart25.xml"/><Relationship Id="rId36" Type="http://schemas.openxmlformats.org/officeDocument/2006/relationships/chart" Target="charts/chart24.xml"/><Relationship Id="rId35" Type="http://schemas.openxmlformats.org/officeDocument/2006/relationships/chart" Target="charts/chart23.xml"/><Relationship Id="rId34" Type="http://schemas.openxmlformats.org/officeDocument/2006/relationships/chart" Target="charts/chart22.xml"/><Relationship Id="rId33" Type="http://schemas.openxmlformats.org/officeDocument/2006/relationships/chart" Target="charts/chart21.xml"/><Relationship Id="rId32" Type="http://schemas.openxmlformats.org/officeDocument/2006/relationships/chart" Target="charts/chart20.xml"/><Relationship Id="rId31" Type="http://schemas.openxmlformats.org/officeDocument/2006/relationships/chart" Target="charts/chart19.xml"/><Relationship Id="rId30" Type="http://schemas.openxmlformats.org/officeDocument/2006/relationships/chart" Target="charts/chart18.xml"/><Relationship Id="rId3" Type="http://schemas.openxmlformats.org/officeDocument/2006/relationships/footnotes" Target="footnotes.xml"/><Relationship Id="rId29" Type="http://schemas.openxmlformats.org/officeDocument/2006/relationships/chart" Target="charts/chart17.xml"/><Relationship Id="rId28" Type="http://schemas.openxmlformats.org/officeDocument/2006/relationships/chart" Target="charts/chart16.xml"/><Relationship Id="rId27" Type="http://schemas.openxmlformats.org/officeDocument/2006/relationships/chart" Target="charts/chart15.xml"/><Relationship Id="rId26" Type="http://schemas.openxmlformats.org/officeDocument/2006/relationships/chart" Target="charts/chart14.xml"/><Relationship Id="rId25" Type="http://schemas.openxmlformats.org/officeDocument/2006/relationships/chart" Target="charts/chart13.xml"/><Relationship Id="rId24" Type="http://schemas.openxmlformats.org/officeDocument/2006/relationships/chart" Target="charts/chart12.xml"/><Relationship Id="rId23" Type="http://schemas.openxmlformats.org/officeDocument/2006/relationships/chart" Target="charts/chart11.xml"/><Relationship Id="rId22" Type="http://schemas.openxmlformats.org/officeDocument/2006/relationships/chart" Target="charts/chart10.xml"/><Relationship Id="rId21" Type="http://schemas.openxmlformats.org/officeDocument/2006/relationships/chart" Target="charts/chart9.xml"/><Relationship Id="rId20" Type="http://schemas.openxmlformats.org/officeDocument/2006/relationships/chart" Target="charts/chart8.xml"/><Relationship Id="rId2" Type="http://schemas.openxmlformats.org/officeDocument/2006/relationships/settings" Target="settings.xml"/><Relationship Id="rId19" Type="http://schemas.openxmlformats.org/officeDocument/2006/relationships/chart" Target="charts/chart7.xml"/><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0" Type="http://schemas.openxmlformats.org/officeDocument/2006/relationships/fontTable" Target="fontTable.xml"/><Relationship Id="rId15" Type="http://schemas.openxmlformats.org/officeDocument/2006/relationships/chart" Target="charts/chart3.xml"/><Relationship Id="rId149" Type="http://schemas.openxmlformats.org/officeDocument/2006/relationships/customXml" Target="../customXml/item2.xml"/><Relationship Id="rId148" Type="http://schemas.openxmlformats.org/officeDocument/2006/relationships/numbering" Target="numbering.xml"/><Relationship Id="rId147" Type="http://schemas.openxmlformats.org/officeDocument/2006/relationships/customXml" Target="../customXml/item1.xml"/><Relationship Id="rId146" Type="http://schemas.openxmlformats.org/officeDocument/2006/relationships/chart" Target="charts/chart129.xml"/><Relationship Id="rId145" Type="http://schemas.openxmlformats.org/officeDocument/2006/relationships/chart" Target="charts/chart128.xml"/><Relationship Id="rId144" Type="http://schemas.openxmlformats.org/officeDocument/2006/relationships/chart" Target="charts/chart127.xml"/><Relationship Id="rId143" Type="http://schemas.openxmlformats.org/officeDocument/2006/relationships/chart" Target="charts/chart126.xml"/><Relationship Id="rId142" Type="http://schemas.openxmlformats.org/officeDocument/2006/relationships/chart" Target="charts/chart125.xml"/><Relationship Id="rId141" Type="http://schemas.openxmlformats.org/officeDocument/2006/relationships/chart" Target="charts/chart124.xml"/><Relationship Id="rId140" Type="http://schemas.openxmlformats.org/officeDocument/2006/relationships/chart" Target="charts/chart123.xml"/><Relationship Id="rId14" Type="http://schemas.openxmlformats.org/officeDocument/2006/relationships/chart" Target="charts/chart2.xml"/><Relationship Id="rId139" Type="http://schemas.openxmlformats.org/officeDocument/2006/relationships/chart" Target="charts/chart122.xml"/><Relationship Id="rId138" Type="http://schemas.openxmlformats.org/officeDocument/2006/relationships/chart" Target="charts/chart121.xml"/><Relationship Id="rId137" Type="http://schemas.openxmlformats.org/officeDocument/2006/relationships/chart" Target="charts/chart120.xml"/><Relationship Id="rId136" Type="http://schemas.openxmlformats.org/officeDocument/2006/relationships/chart" Target="charts/chart119.xml"/><Relationship Id="rId135" Type="http://schemas.openxmlformats.org/officeDocument/2006/relationships/chart" Target="charts/chart118.xml"/><Relationship Id="rId134" Type="http://schemas.openxmlformats.org/officeDocument/2006/relationships/chart" Target="charts/chart117.xml"/><Relationship Id="rId133" Type="http://schemas.openxmlformats.org/officeDocument/2006/relationships/chart" Target="charts/chart116.xml"/><Relationship Id="rId132" Type="http://schemas.openxmlformats.org/officeDocument/2006/relationships/chart" Target="charts/chart115.xml"/><Relationship Id="rId131" Type="http://schemas.openxmlformats.org/officeDocument/2006/relationships/chart" Target="charts/chart114.xml"/><Relationship Id="rId130" Type="http://schemas.openxmlformats.org/officeDocument/2006/relationships/chart" Target="charts/chart113.xml"/><Relationship Id="rId13" Type="http://schemas.openxmlformats.org/officeDocument/2006/relationships/chart" Target="charts/chart1.xml"/><Relationship Id="rId129" Type="http://schemas.openxmlformats.org/officeDocument/2006/relationships/chart" Target="charts/chart112.xml"/><Relationship Id="rId128" Type="http://schemas.openxmlformats.org/officeDocument/2006/relationships/chart" Target="charts/chart111.xml"/><Relationship Id="rId127" Type="http://schemas.openxmlformats.org/officeDocument/2006/relationships/chart" Target="charts/chart110.xml"/><Relationship Id="rId126" Type="http://schemas.openxmlformats.org/officeDocument/2006/relationships/chart" Target="charts/chart109.xml"/><Relationship Id="rId125" Type="http://schemas.openxmlformats.org/officeDocument/2006/relationships/chart" Target="charts/chart108.xml"/><Relationship Id="rId124" Type="http://schemas.openxmlformats.org/officeDocument/2006/relationships/chart" Target="charts/chart107.xml"/><Relationship Id="rId123" Type="http://schemas.openxmlformats.org/officeDocument/2006/relationships/chart" Target="charts/chart106.xml"/><Relationship Id="rId122" Type="http://schemas.openxmlformats.org/officeDocument/2006/relationships/chart" Target="charts/chart105.xml"/><Relationship Id="rId121" Type="http://schemas.openxmlformats.org/officeDocument/2006/relationships/chart" Target="charts/chart104.xml"/><Relationship Id="rId120" Type="http://schemas.openxmlformats.org/officeDocument/2006/relationships/chart" Target="charts/chart103.xml"/><Relationship Id="rId12" Type="http://schemas.openxmlformats.org/officeDocument/2006/relationships/image" Target="media/image2.jpeg"/><Relationship Id="rId119" Type="http://schemas.openxmlformats.org/officeDocument/2006/relationships/chart" Target="charts/chart102.xml"/><Relationship Id="rId118" Type="http://schemas.openxmlformats.org/officeDocument/2006/relationships/chart" Target="charts/chart101.xml"/><Relationship Id="rId117" Type="http://schemas.openxmlformats.org/officeDocument/2006/relationships/chart" Target="charts/chart100.xml"/><Relationship Id="rId116" Type="http://schemas.openxmlformats.org/officeDocument/2006/relationships/chart" Target="charts/chart99.xml"/><Relationship Id="rId115" Type="http://schemas.openxmlformats.org/officeDocument/2006/relationships/chart" Target="charts/chart98.xml"/><Relationship Id="rId114" Type="http://schemas.openxmlformats.org/officeDocument/2006/relationships/chart" Target="charts/chart97.xml"/><Relationship Id="rId113" Type="http://schemas.openxmlformats.org/officeDocument/2006/relationships/chart" Target="charts/chart96.xml"/><Relationship Id="rId112" Type="http://schemas.openxmlformats.org/officeDocument/2006/relationships/chart" Target="charts/chart95.xml"/><Relationship Id="rId111" Type="http://schemas.openxmlformats.org/officeDocument/2006/relationships/chart" Target="charts/chart94.xml"/><Relationship Id="rId110" Type="http://schemas.openxmlformats.org/officeDocument/2006/relationships/chart" Target="charts/chart93.xml"/><Relationship Id="rId11" Type="http://schemas.openxmlformats.org/officeDocument/2006/relationships/theme" Target="theme/theme1.xml"/><Relationship Id="rId109" Type="http://schemas.openxmlformats.org/officeDocument/2006/relationships/chart" Target="charts/chart92.xml"/><Relationship Id="rId108" Type="http://schemas.openxmlformats.org/officeDocument/2006/relationships/chart" Target="charts/chart91.xml"/><Relationship Id="rId107" Type="http://schemas.openxmlformats.org/officeDocument/2006/relationships/chart" Target="charts/chart90.xml"/><Relationship Id="rId106" Type="http://schemas.openxmlformats.org/officeDocument/2006/relationships/chart" Target="charts/chart89.xml"/><Relationship Id="rId105" Type="http://schemas.openxmlformats.org/officeDocument/2006/relationships/chart" Target="charts/chart88.xml"/><Relationship Id="rId104" Type="http://schemas.openxmlformats.org/officeDocument/2006/relationships/chart" Target="charts/chart87.xml"/><Relationship Id="rId103" Type="http://schemas.openxmlformats.org/officeDocument/2006/relationships/chart" Target="charts/chart86.xml"/><Relationship Id="rId102" Type="http://schemas.openxmlformats.org/officeDocument/2006/relationships/chart" Target="charts/chart85.xml"/><Relationship Id="rId101" Type="http://schemas.openxmlformats.org/officeDocument/2006/relationships/chart" Target="charts/chart84.xml"/><Relationship Id="rId100" Type="http://schemas.openxmlformats.org/officeDocument/2006/relationships/chart" Target="charts/chart83.xml"/><Relationship Id="rId10" Type="http://schemas.openxmlformats.org/officeDocument/2006/relationships/footer" Target="foot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Workbook10.xlsx"/></Relationships>
</file>

<file path=word/charts/_rels/chart100.xml.rels><?xml version="1.0" encoding="UTF-8" standalone="yes"?>
<Relationships xmlns="http://schemas.openxmlformats.org/package/2006/relationships"><Relationship Id="rId2" Type="http://schemas.openxmlformats.org/officeDocument/2006/relationships/themeOverride" Target="../theme/themeOverride46.xml"/><Relationship Id="rId1" Type="http://schemas.openxmlformats.org/officeDocument/2006/relationships/package" Target="../embeddings/Workbook84.xlsx"/></Relationships>
</file>

<file path=word/charts/_rels/chart101.xml.rels><?xml version="1.0" encoding="UTF-8" standalone="yes"?>
<Relationships xmlns="http://schemas.openxmlformats.org/package/2006/relationships"><Relationship Id="rId1" Type="http://schemas.openxmlformats.org/officeDocument/2006/relationships/package" Target="../embeddings/Workbook86.xlsx"/></Relationships>
</file>

<file path=word/charts/_rels/chart102.xml.rels><?xml version="1.0" encoding="UTF-8" standalone="yes"?>
<Relationships xmlns="http://schemas.openxmlformats.org/package/2006/relationships"><Relationship Id="rId1" Type="http://schemas.openxmlformats.org/officeDocument/2006/relationships/package" Target="../embeddings/Workbook113.xlsx"/></Relationships>
</file>

<file path=word/charts/_rels/chart103.xml.rels><?xml version="1.0" encoding="UTF-8" standalone="yes"?>
<Relationships xmlns="http://schemas.openxmlformats.org/package/2006/relationships"><Relationship Id="rId1" Type="http://schemas.openxmlformats.org/officeDocument/2006/relationships/package" Target="../embeddings/Workbook115.xlsx"/></Relationships>
</file>

<file path=word/charts/_rels/chart104.xml.rels><?xml version="1.0" encoding="UTF-8" standalone="yes"?>
<Relationships xmlns="http://schemas.openxmlformats.org/package/2006/relationships"><Relationship Id="rId1" Type="http://schemas.openxmlformats.org/officeDocument/2006/relationships/package" Target="../embeddings/Workbook111.xlsx"/></Relationships>
</file>

<file path=word/charts/_rels/chart105.xml.rels><?xml version="1.0" encoding="UTF-8" standalone="yes"?>
<Relationships xmlns="http://schemas.openxmlformats.org/package/2006/relationships"><Relationship Id="rId1" Type="http://schemas.openxmlformats.org/officeDocument/2006/relationships/package" Target="../embeddings/Workbook118.xlsx"/></Relationships>
</file>

<file path=word/charts/_rels/chart106.xml.rels><?xml version="1.0" encoding="UTF-8" standalone="yes"?>
<Relationships xmlns="http://schemas.openxmlformats.org/package/2006/relationships"><Relationship Id="rId1" Type="http://schemas.openxmlformats.org/officeDocument/2006/relationships/package" Target="../embeddings/Workbook122.xlsx"/></Relationships>
</file>

<file path=word/charts/_rels/chart107.xml.rels><?xml version="1.0" encoding="UTF-8" standalone="yes"?>
<Relationships xmlns="http://schemas.openxmlformats.org/package/2006/relationships"><Relationship Id="rId1" Type="http://schemas.openxmlformats.org/officeDocument/2006/relationships/package" Target="../embeddings/Workbook110.xlsx"/></Relationships>
</file>

<file path=word/charts/_rels/chart108.xml.rels><?xml version="1.0" encoding="UTF-8" standalone="yes"?>
<Relationships xmlns="http://schemas.openxmlformats.org/package/2006/relationships"><Relationship Id="rId2" Type="http://schemas.openxmlformats.org/officeDocument/2006/relationships/themeOverride" Target="../theme/themeOverride66.xml"/><Relationship Id="rId1" Type="http://schemas.openxmlformats.org/officeDocument/2006/relationships/package" Target="../embeddings/Workbook119.xlsx"/></Relationships>
</file>

<file path=word/charts/_rels/chart109.xml.rels><?xml version="1.0" encoding="UTF-8" standalone="yes"?>
<Relationships xmlns="http://schemas.openxmlformats.org/package/2006/relationships"><Relationship Id="rId1" Type="http://schemas.openxmlformats.org/officeDocument/2006/relationships/package" Target="../embeddings/Workbook114.xlsx"/></Relationships>
</file>

<file path=word/charts/_rels/chart11.xml.rels><?xml version="1.0" encoding="UTF-8" standalone="yes"?>
<Relationships xmlns="http://schemas.openxmlformats.org/package/2006/relationships"><Relationship Id="rId2" Type="http://schemas.openxmlformats.org/officeDocument/2006/relationships/themeOverride" Target="../theme/themeOverride10.xml"/><Relationship Id="rId1" Type="http://schemas.openxmlformats.org/officeDocument/2006/relationships/package" Target="../embeddings/Workbook13.xlsx"/></Relationships>
</file>

<file path=word/charts/_rels/chart110.xml.rels><?xml version="1.0" encoding="UTF-8" standalone="yes"?>
<Relationships xmlns="http://schemas.openxmlformats.org/package/2006/relationships"><Relationship Id="rId1" Type="http://schemas.openxmlformats.org/officeDocument/2006/relationships/package" Target="../embeddings/Workbook112.xlsx"/></Relationships>
</file>

<file path=word/charts/_rels/chart111.xml.rels><?xml version="1.0" encoding="UTF-8" standalone="yes"?>
<Relationships xmlns="http://schemas.openxmlformats.org/package/2006/relationships"><Relationship Id="rId2" Type="http://schemas.openxmlformats.org/officeDocument/2006/relationships/themeOverride" Target="../theme/themeOverride64.xml"/><Relationship Id="rId1" Type="http://schemas.openxmlformats.org/officeDocument/2006/relationships/package" Target="../embeddings/Workbook116.xlsx"/></Relationships>
</file>

<file path=word/charts/_rels/chart112.xml.rels><?xml version="1.0" encoding="UTF-8" standalone="yes"?>
<Relationships xmlns="http://schemas.openxmlformats.org/package/2006/relationships"><Relationship Id="rId2" Type="http://schemas.openxmlformats.org/officeDocument/2006/relationships/themeOverride" Target="../theme/themeOverride65.xml"/><Relationship Id="rId1" Type="http://schemas.openxmlformats.org/officeDocument/2006/relationships/package" Target="../embeddings/Workbook117.xlsx"/></Relationships>
</file>

<file path=word/charts/_rels/chart113.xml.rels><?xml version="1.0" encoding="UTF-8" standalone="yes"?>
<Relationships xmlns="http://schemas.openxmlformats.org/package/2006/relationships"><Relationship Id="rId1" Type="http://schemas.openxmlformats.org/officeDocument/2006/relationships/package" Target="../embeddings/Workbook120.xlsx"/></Relationships>
</file>

<file path=word/charts/_rels/chart114.xml.rels><?xml version="1.0" encoding="UTF-8" standalone="yes"?>
<Relationships xmlns="http://schemas.openxmlformats.org/package/2006/relationships"><Relationship Id="rId1" Type="http://schemas.openxmlformats.org/officeDocument/2006/relationships/package" Target="../embeddings/Workbook121.xlsx"/></Relationships>
</file>

<file path=word/charts/_rels/chart115.xml.rels><?xml version="1.0" encoding="UTF-8" standalone="yes"?>
<Relationships xmlns="http://schemas.openxmlformats.org/package/2006/relationships"><Relationship Id="rId1" Type="http://schemas.openxmlformats.org/officeDocument/2006/relationships/package" Target="../embeddings/Workbook124.xlsx"/></Relationships>
</file>

<file path=word/charts/_rels/chart116.xml.rels><?xml version="1.0" encoding="UTF-8" standalone="yes"?>
<Relationships xmlns="http://schemas.openxmlformats.org/package/2006/relationships"><Relationship Id="rId1" Type="http://schemas.openxmlformats.org/officeDocument/2006/relationships/package" Target="../embeddings/Workbook123.xlsx"/></Relationships>
</file>

<file path=word/charts/_rels/chart117.xml.rels><?xml version="1.0" encoding="UTF-8" standalone="yes"?>
<Relationships xmlns="http://schemas.openxmlformats.org/package/2006/relationships"><Relationship Id="rId1" Type="http://schemas.openxmlformats.org/officeDocument/2006/relationships/package" Target="../embeddings/Workbook103.xlsx"/></Relationships>
</file>

<file path=word/charts/_rels/chart118.xml.rels><?xml version="1.0" encoding="UTF-8" standalone="yes"?>
<Relationships xmlns="http://schemas.openxmlformats.org/package/2006/relationships"><Relationship Id="rId2" Type="http://schemas.openxmlformats.org/officeDocument/2006/relationships/themeOverride" Target="../theme/themeOverride62.xml"/><Relationship Id="rId1" Type="http://schemas.openxmlformats.org/officeDocument/2006/relationships/package" Target="../embeddings/Workbook108.xlsx"/></Relationships>
</file>

<file path=word/charts/_rels/chart119.xml.rels><?xml version="1.0" encoding="UTF-8" standalone="yes"?>
<Relationships xmlns="http://schemas.openxmlformats.org/package/2006/relationships"><Relationship Id="rId2" Type="http://schemas.openxmlformats.org/officeDocument/2006/relationships/themeOverride" Target="../theme/themeOverride58.xml"/><Relationship Id="rId1" Type="http://schemas.openxmlformats.org/officeDocument/2006/relationships/package" Target="../embeddings/Workbook104.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Workbook15.xlsx"/></Relationships>
</file>

<file path=word/charts/_rels/chart120.xml.rels><?xml version="1.0" encoding="UTF-8" standalone="yes"?>
<Relationships xmlns="http://schemas.openxmlformats.org/package/2006/relationships"><Relationship Id="rId2" Type="http://schemas.openxmlformats.org/officeDocument/2006/relationships/themeOverride" Target="../theme/themeOverride57.xml"/><Relationship Id="rId1" Type="http://schemas.openxmlformats.org/officeDocument/2006/relationships/package" Target="../embeddings/Workbook102.xlsx"/></Relationships>
</file>

<file path=word/charts/_rels/chart121.xml.rels><?xml version="1.0" encoding="UTF-8" standalone="yes"?>
<Relationships xmlns="http://schemas.openxmlformats.org/package/2006/relationships"><Relationship Id="rId2" Type="http://schemas.openxmlformats.org/officeDocument/2006/relationships/themeOverride" Target="../theme/themeOverride63.xml"/><Relationship Id="rId1" Type="http://schemas.openxmlformats.org/officeDocument/2006/relationships/package" Target="../embeddings/Workbook109.xlsx"/></Relationships>
</file>

<file path=word/charts/_rels/chart122.xml.rels><?xml version="1.0" encoding="UTF-8" standalone="yes"?>
<Relationships xmlns="http://schemas.openxmlformats.org/package/2006/relationships"><Relationship Id="rId2" Type="http://schemas.openxmlformats.org/officeDocument/2006/relationships/themeOverride" Target="../theme/themeOverride59.xml"/><Relationship Id="rId1" Type="http://schemas.openxmlformats.org/officeDocument/2006/relationships/package" Target="../embeddings/Workbook105.xlsx"/></Relationships>
</file>

<file path=word/charts/_rels/chart123.xml.rels><?xml version="1.0" encoding="UTF-8" standalone="yes"?>
<Relationships xmlns="http://schemas.openxmlformats.org/package/2006/relationships"><Relationship Id="rId2" Type="http://schemas.openxmlformats.org/officeDocument/2006/relationships/themeOverride" Target="../theme/themeOverride61.xml"/><Relationship Id="rId1" Type="http://schemas.openxmlformats.org/officeDocument/2006/relationships/package" Target="../embeddings/Workbook107.xlsx"/></Relationships>
</file>

<file path=word/charts/_rels/chart124.xml.rels><?xml version="1.0" encoding="UTF-8" standalone="yes"?>
<Relationships xmlns="http://schemas.openxmlformats.org/package/2006/relationships"><Relationship Id="rId2" Type="http://schemas.openxmlformats.org/officeDocument/2006/relationships/themeOverride" Target="../theme/themeOverride60.xml"/><Relationship Id="rId1" Type="http://schemas.openxmlformats.org/officeDocument/2006/relationships/package" Target="../embeddings/Workbook106.xlsx"/></Relationships>
</file>

<file path=word/charts/_rels/chart125.xml.rels><?xml version="1.0" encoding="UTF-8" standalone="yes"?>
<Relationships xmlns="http://schemas.openxmlformats.org/package/2006/relationships"><Relationship Id="rId2" Type="http://schemas.openxmlformats.org/officeDocument/2006/relationships/themeOverride" Target="../theme/themeOverride68.xml"/><Relationship Id="rId1" Type="http://schemas.openxmlformats.org/officeDocument/2006/relationships/package" Target="../embeddings/Workbook126.xlsx"/></Relationships>
</file>

<file path=word/charts/_rels/chart126.xml.rels><?xml version="1.0" encoding="UTF-8" standalone="yes"?>
<Relationships xmlns="http://schemas.openxmlformats.org/package/2006/relationships"><Relationship Id="rId2" Type="http://schemas.openxmlformats.org/officeDocument/2006/relationships/themeOverride" Target="../theme/themeOverride69.xml"/><Relationship Id="rId1" Type="http://schemas.openxmlformats.org/officeDocument/2006/relationships/package" Target="../embeddings/Workbook127.xlsx"/></Relationships>
</file>

<file path=word/charts/_rels/chart127.xml.rels><?xml version="1.0" encoding="UTF-8" standalone="yes"?>
<Relationships xmlns="http://schemas.openxmlformats.org/package/2006/relationships"><Relationship Id="rId2" Type="http://schemas.openxmlformats.org/officeDocument/2006/relationships/themeOverride" Target="../theme/themeOverride70.xml"/><Relationship Id="rId1" Type="http://schemas.openxmlformats.org/officeDocument/2006/relationships/package" Target="../embeddings/Workbook128.xlsx"/></Relationships>
</file>

<file path=word/charts/_rels/chart128.xml.rels><?xml version="1.0" encoding="UTF-8" standalone="yes"?>
<Relationships xmlns="http://schemas.openxmlformats.org/package/2006/relationships"><Relationship Id="rId2" Type="http://schemas.openxmlformats.org/officeDocument/2006/relationships/themeOverride" Target="../theme/themeOverride67.xml"/><Relationship Id="rId1" Type="http://schemas.openxmlformats.org/officeDocument/2006/relationships/package" Target="../embeddings/Workbook125.xlsx"/></Relationships>
</file>

<file path=word/charts/_rels/chart129.xml.rels><?xml version="1.0" encoding="UTF-8" standalone="yes"?>
<Relationships xmlns="http://schemas.openxmlformats.org/package/2006/relationships"><Relationship Id="rId2" Type="http://schemas.openxmlformats.org/officeDocument/2006/relationships/themeOverride" Target="../theme/themeOverride71.xml"/><Relationship Id="rId1" Type="http://schemas.openxmlformats.org/officeDocument/2006/relationships/package" Target="../embeddings/Workbook129.xlsx"/></Relationships>
</file>

<file path=word/charts/_rels/chart13.xml.rels><?xml version="1.0" encoding="UTF-8" standalone="yes"?>
<Relationships xmlns="http://schemas.openxmlformats.org/package/2006/relationships"><Relationship Id="rId2" Type="http://schemas.openxmlformats.org/officeDocument/2006/relationships/themeOverride" Target="../theme/themeOverride8.xml"/><Relationship Id="rId1" Type="http://schemas.openxmlformats.org/officeDocument/2006/relationships/package" Target="../embeddings/Workbook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Workbook14.xlsx"/></Relationships>
</file>

<file path=word/charts/_rels/chart15.xml.rels><?xml version="1.0" encoding="UTF-8" standalone="yes"?>
<Relationships xmlns="http://schemas.openxmlformats.org/package/2006/relationships"><Relationship Id="rId2" Type="http://schemas.openxmlformats.org/officeDocument/2006/relationships/themeOverride" Target="../theme/themeOverride9.xml"/><Relationship Id="rId1" Type="http://schemas.openxmlformats.org/officeDocument/2006/relationships/package" Target="../embeddings/Workbook12.xlsx"/></Relationships>
</file>

<file path=word/charts/_rels/chart16.xml.rels><?xml version="1.0" encoding="UTF-8" standalone="yes"?>
<Relationships xmlns="http://schemas.openxmlformats.org/package/2006/relationships"><Relationship Id="rId2" Type="http://schemas.openxmlformats.org/officeDocument/2006/relationships/themeOverride" Target="../theme/themeOverride12.xml"/><Relationship Id="rId1" Type="http://schemas.openxmlformats.org/officeDocument/2006/relationships/package" Target="../embeddings/Workbook19.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Workbook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Workbook26.xlsx"/></Relationships>
</file>

<file path=word/charts/_rels/chart19.xml.rels><?xml version="1.0" encoding="UTF-8" standalone="yes"?>
<Relationships xmlns="http://schemas.openxmlformats.org/package/2006/relationships"><Relationship Id="rId2" Type="http://schemas.openxmlformats.org/officeDocument/2006/relationships/themeOverride" Target="../theme/themeOverride15.xml"/><Relationship Id="rId1" Type="http://schemas.openxmlformats.org/officeDocument/2006/relationships/package" Target="../embeddings/Workbook23.xlsx"/></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package" Target="../embeddings/Workbook2.xlsx"/></Relationships>
</file>

<file path=word/charts/_rels/chart20.xml.rels><?xml version="1.0" encoding="UTF-8" standalone="yes"?>
<Relationships xmlns="http://schemas.openxmlformats.org/package/2006/relationships"><Relationship Id="rId2" Type="http://schemas.openxmlformats.org/officeDocument/2006/relationships/themeOverride" Target="../theme/themeOverride14.xml"/><Relationship Id="rId1" Type="http://schemas.openxmlformats.org/officeDocument/2006/relationships/package" Target="../embeddings/Workbook22.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Workbook18.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Workbook24.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Workbook20.xlsx"/></Relationships>
</file>

<file path=word/charts/_rels/chart24.xml.rels><?xml version="1.0" encoding="UTF-8" standalone="yes"?>
<Relationships xmlns="http://schemas.openxmlformats.org/package/2006/relationships"><Relationship Id="rId2" Type="http://schemas.openxmlformats.org/officeDocument/2006/relationships/themeOverride" Target="../theme/themeOverride16.xml"/><Relationship Id="rId1" Type="http://schemas.openxmlformats.org/officeDocument/2006/relationships/package" Target="../embeddings/Workbook25.xlsx"/></Relationships>
</file>

<file path=word/charts/_rels/chart25.xml.rels><?xml version="1.0" encoding="UTF-8" standalone="yes"?>
<Relationships xmlns="http://schemas.openxmlformats.org/package/2006/relationships"><Relationship Id="rId2" Type="http://schemas.openxmlformats.org/officeDocument/2006/relationships/themeOverride" Target="../theme/themeOverride11.xml"/><Relationship Id="rId1" Type="http://schemas.openxmlformats.org/officeDocument/2006/relationships/package" Target="../embeddings/Workbook17.xlsx"/></Relationships>
</file>

<file path=word/charts/_rels/chart26.xml.rels><?xml version="1.0" encoding="UTF-8" standalone="yes"?>
<Relationships xmlns="http://schemas.openxmlformats.org/package/2006/relationships"><Relationship Id="rId2" Type="http://schemas.openxmlformats.org/officeDocument/2006/relationships/themeOverride" Target="../theme/themeOverride13.xml"/><Relationship Id="rId1" Type="http://schemas.openxmlformats.org/officeDocument/2006/relationships/package" Target="../embeddings/Workbook21.xlsx"/></Relationships>
</file>

<file path=word/charts/_rels/chart27.xml.rels><?xml version="1.0" encoding="UTF-8" standalone="yes"?>
<Relationships xmlns="http://schemas.openxmlformats.org/package/2006/relationships"><Relationship Id="rId2" Type="http://schemas.openxmlformats.org/officeDocument/2006/relationships/themeOverride" Target="../theme/themeOverride23.xml"/><Relationship Id="rId1" Type="http://schemas.openxmlformats.org/officeDocument/2006/relationships/package" Target="../embeddings/Workbook35.xlsx"/></Relationships>
</file>

<file path=word/charts/_rels/chart28.xml.rels><?xml version="1.0" encoding="UTF-8" standalone="yes"?>
<Relationships xmlns="http://schemas.openxmlformats.org/package/2006/relationships"><Relationship Id="rId2" Type="http://schemas.openxmlformats.org/officeDocument/2006/relationships/themeOverride" Target="../theme/themeOverride18.xml"/><Relationship Id="rId1" Type="http://schemas.openxmlformats.org/officeDocument/2006/relationships/package" Target="../embeddings/Workbook29.xlsx"/></Relationships>
</file>

<file path=word/charts/_rels/chart29.xml.rels><?xml version="1.0" encoding="UTF-8" standalone="yes"?>
<Relationships xmlns="http://schemas.openxmlformats.org/package/2006/relationships"><Relationship Id="rId2" Type="http://schemas.openxmlformats.org/officeDocument/2006/relationships/themeOverride" Target="../theme/themeOverride19.xml"/><Relationship Id="rId1" Type="http://schemas.openxmlformats.org/officeDocument/2006/relationships/package" Target="../embeddings/Workbook30.xlsx"/></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package" Target="../embeddings/Workbook5.xlsx"/></Relationships>
</file>

<file path=word/charts/_rels/chart30.xml.rels><?xml version="1.0" encoding="UTF-8" standalone="yes"?>
<Relationships xmlns="http://schemas.openxmlformats.org/package/2006/relationships"><Relationship Id="rId2" Type="http://schemas.openxmlformats.org/officeDocument/2006/relationships/themeOverride" Target="../theme/themeOverride17.xml"/><Relationship Id="rId1" Type="http://schemas.openxmlformats.org/officeDocument/2006/relationships/package" Target="../embeddings/Workbook28.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Workbook36.xlsx"/></Relationships>
</file>

<file path=word/charts/_rels/chart32.xml.rels><?xml version="1.0" encoding="UTF-8" standalone="yes"?>
<Relationships xmlns="http://schemas.openxmlformats.org/package/2006/relationships"><Relationship Id="rId2" Type="http://schemas.openxmlformats.org/officeDocument/2006/relationships/themeOverride" Target="../theme/themeOverride21.xml"/><Relationship Id="rId1" Type="http://schemas.openxmlformats.org/officeDocument/2006/relationships/package" Target="../embeddings/Workbook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Workbook33.xlsx"/></Relationships>
</file>

<file path=word/charts/_rels/chart34.xml.rels><?xml version="1.0" encoding="UTF-8" standalone="yes"?>
<Relationships xmlns="http://schemas.openxmlformats.org/package/2006/relationships"><Relationship Id="rId2" Type="http://schemas.openxmlformats.org/officeDocument/2006/relationships/themeOverride" Target="../theme/themeOverride22.xml"/><Relationship Id="rId1" Type="http://schemas.openxmlformats.org/officeDocument/2006/relationships/package" Target="../embeddings/Workbook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Workbook27.xlsx"/></Relationships>
</file>

<file path=word/charts/_rels/chart36.xml.rels><?xml version="1.0" encoding="UTF-8" standalone="yes"?>
<Relationships xmlns="http://schemas.openxmlformats.org/package/2006/relationships"><Relationship Id="rId2" Type="http://schemas.openxmlformats.org/officeDocument/2006/relationships/themeOverride" Target="../theme/themeOverride20.xml"/><Relationship Id="rId1" Type="http://schemas.openxmlformats.org/officeDocument/2006/relationships/package" Target="../embeddings/Workbook31.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Workbook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Workbook41.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Workbook42.xlsx"/></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7.xml"/><Relationship Id="rId1" Type="http://schemas.openxmlformats.org/officeDocument/2006/relationships/package" Target="../embeddings/Workbook9.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Workbook4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Workbook46.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Workbook47.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Workbook48.xlsx"/></Relationships>
</file>

<file path=word/charts/_rels/chart44.xml.rels><?xml version="1.0" encoding="UTF-8" standalone="yes"?>
<Relationships xmlns="http://schemas.openxmlformats.org/package/2006/relationships"><Relationship Id="rId2" Type="http://schemas.openxmlformats.org/officeDocument/2006/relationships/themeOverride" Target="../theme/themeOverride25.xml"/><Relationship Id="rId1" Type="http://schemas.openxmlformats.org/officeDocument/2006/relationships/package" Target="../embeddings/Workbook4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Workbook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Workbook39.xlsx"/></Relationships>
</file>

<file path=word/charts/_rels/chart47.xml.rels><?xml version="1.0" encoding="UTF-8" standalone="yes"?>
<Relationships xmlns="http://schemas.openxmlformats.org/package/2006/relationships"><Relationship Id="rId2" Type="http://schemas.openxmlformats.org/officeDocument/2006/relationships/themeOverride" Target="../theme/themeOverride24.xml"/><Relationship Id="rId1" Type="http://schemas.openxmlformats.org/officeDocument/2006/relationships/package" Target="../embeddings/Workbook38.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Workbook40.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Workbook44.xlsx"/></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6.xml"/><Relationship Id="rId1" Type="http://schemas.openxmlformats.org/officeDocument/2006/relationships/package" Target="../embeddings/Workbook8.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Workbook52.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Workbook56.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Workbook53.xlsx"/></Relationships>
</file>

<file path=word/charts/_rels/chart53.xml.rels><?xml version="1.0" encoding="UTF-8" standalone="yes"?>
<Relationships xmlns="http://schemas.openxmlformats.org/package/2006/relationships"><Relationship Id="rId2" Type="http://schemas.openxmlformats.org/officeDocument/2006/relationships/themeOverride" Target="../theme/themeOverride30.xml"/><Relationship Id="rId1" Type="http://schemas.openxmlformats.org/officeDocument/2006/relationships/package" Target="../embeddings/Workbook59.xlsx"/></Relationships>
</file>

<file path=word/charts/_rels/chart54.xml.rels><?xml version="1.0" encoding="UTF-8" standalone="yes"?>
<Relationships xmlns="http://schemas.openxmlformats.org/package/2006/relationships"><Relationship Id="rId2" Type="http://schemas.openxmlformats.org/officeDocument/2006/relationships/themeOverride" Target="../theme/themeOverride27.xml"/><Relationship Id="rId1" Type="http://schemas.openxmlformats.org/officeDocument/2006/relationships/package" Target="../embeddings/Workbook51.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Workbook57.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Workbook55.xlsx"/></Relationships>
</file>

<file path=word/charts/_rels/chart57.xml.rels><?xml version="1.0" encoding="UTF-8" standalone="yes"?>
<Relationships xmlns="http://schemas.openxmlformats.org/package/2006/relationships"><Relationship Id="rId2" Type="http://schemas.openxmlformats.org/officeDocument/2006/relationships/themeOverride" Target="../theme/themeOverride29.xml"/><Relationship Id="rId1" Type="http://schemas.openxmlformats.org/officeDocument/2006/relationships/package" Target="../embeddings/Workbook58.xlsx"/></Relationships>
</file>

<file path=word/charts/_rels/chart58.xml.rels><?xml version="1.0" encoding="UTF-8" standalone="yes"?>
<Relationships xmlns="http://schemas.openxmlformats.org/package/2006/relationships"><Relationship Id="rId2" Type="http://schemas.openxmlformats.org/officeDocument/2006/relationships/themeOverride" Target="../theme/themeOverride28.xml"/><Relationship Id="rId1" Type="http://schemas.openxmlformats.org/officeDocument/2006/relationships/package" Target="../embeddings/Workbook54.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Workbook60.xlsx"/></Relationships>
</file>

<file path=word/charts/_rels/chart6.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package" Target="../embeddings/Workbook6.xlsx"/></Relationships>
</file>

<file path=word/charts/_rels/chart60.xml.rels><?xml version="1.0" encoding="UTF-8" standalone="yes"?>
<Relationships xmlns="http://schemas.openxmlformats.org/package/2006/relationships"><Relationship Id="rId2" Type="http://schemas.openxmlformats.org/officeDocument/2006/relationships/themeOverride" Target="../theme/themeOverride26.xml"/><Relationship Id="rId1" Type="http://schemas.openxmlformats.org/officeDocument/2006/relationships/package" Target="../embeddings/Workbook50.xlsx"/></Relationships>
</file>

<file path=word/charts/_rels/chart61.xml.rels><?xml version="1.0" encoding="UTF-8" standalone="yes"?>
<Relationships xmlns="http://schemas.openxmlformats.org/package/2006/relationships"><Relationship Id="rId2" Type="http://schemas.openxmlformats.org/officeDocument/2006/relationships/themeOverride" Target="../theme/themeOverride31.xml"/><Relationship Id="rId1" Type="http://schemas.openxmlformats.org/officeDocument/2006/relationships/package" Target="../embeddings/Workbook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Workbook71.xlsx"/></Relationships>
</file>

<file path=word/charts/_rels/chart63.xml.rels><?xml version="1.0" encoding="UTF-8" standalone="yes"?>
<Relationships xmlns="http://schemas.openxmlformats.org/package/2006/relationships"><Relationship Id="rId2" Type="http://schemas.openxmlformats.org/officeDocument/2006/relationships/themeOverride" Target="../theme/themeOverride34.xml"/><Relationship Id="rId1" Type="http://schemas.openxmlformats.org/officeDocument/2006/relationships/package" Target="../embeddings/Workbook64.xlsx"/></Relationships>
</file>

<file path=word/charts/_rels/chart64.xml.rels><?xml version="1.0" encoding="UTF-8" standalone="yes"?>
<Relationships xmlns="http://schemas.openxmlformats.org/package/2006/relationships"><Relationship Id="rId2" Type="http://schemas.openxmlformats.org/officeDocument/2006/relationships/themeOverride" Target="../theme/themeOverride32.xml"/><Relationship Id="rId1" Type="http://schemas.openxmlformats.org/officeDocument/2006/relationships/package" Target="../embeddings/Workbook62.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Workbook65.xlsx"/></Relationships>
</file>

<file path=word/charts/_rels/chart66.xml.rels><?xml version="1.0" encoding="UTF-8" standalone="yes"?>
<Relationships xmlns="http://schemas.openxmlformats.org/package/2006/relationships"><Relationship Id="rId2" Type="http://schemas.openxmlformats.org/officeDocument/2006/relationships/themeOverride" Target="../theme/themeOverride36.xml"/><Relationship Id="rId1" Type="http://schemas.openxmlformats.org/officeDocument/2006/relationships/package" Target="../embeddings/Workbook68.xlsx"/></Relationships>
</file>

<file path=word/charts/_rels/chart67.xml.rels><?xml version="1.0" encoding="UTF-8" standalone="yes"?>
<Relationships xmlns="http://schemas.openxmlformats.org/package/2006/relationships"><Relationship Id="rId2" Type="http://schemas.openxmlformats.org/officeDocument/2006/relationships/themeOverride" Target="../theme/themeOverride35.xml"/><Relationship Id="rId1" Type="http://schemas.openxmlformats.org/officeDocument/2006/relationships/package" Target="../embeddings/Workbook66.xlsx"/></Relationships>
</file>

<file path=word/charts/_rels/chart68.xml.rels><?xml version="1.0" encoding="UTF-8" standalone="yes"?>
<Relationships xmlns="http://schemas.openxmlformats.org/package/2006/relationships"><Relationship Id="rId2" Type="http://schemas.openxmlformats.org/officeDocument/2006/relationships/themeOverride" Target="../theme/themeOverride33.xml"/><Relationship Id="rId1" Type="http://schemas.openxmlformats.org/officeDocument/2006/relationships/package" Target="../embeddings/Workbook63.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Workbook6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Workbook69.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Workbook70.xlsx"/></Relationships>
</file>

<file path=word/charts/_rels/chart72.xml.rels><?xml version="1.0" encoding="UTF-8" standalone="yes"?>
<Relationships xmlns="http://schemas.openxmlformats.org/package/2006/relationships"><Relationship Id="rId2" Type="http://schemas.openxmlformats.org/officeDocument/2006/relationships/themeOverride" Target="../theme/themeOverride37.xml"/><Relationship Id="rId1" Type="http://schemas.openxmlformats.org/officeDocument/2006/relationships/package" Target="../embeddings/Workbook72.xlsx"/></Relationships>
</file>

<file path=word/charts/_rels/chart73.xml.rels><?xml version="1.0" encoding="UTF-8" standalone="yes"?>
<Relationships xmlns="http://schemas.openxmlformats.org/package/2006/relationships"><Relationship Id="rId2" Type="http://schemas.openxmlformats.org/officeDocument/2006/relationships/themeOverride" Target="../theme/themeOverride43.xml"/><Relationship Id="rId1" Type="http://schemas.openxmlformats.org/officeDocument/2006/relationships/package" Target="../embeddings/Workbook79.xlsx"/></Relationships>
</file>

<file path=word/charts/_rels/chart74.xml.rels><?xml version="1.0" encoding="UTF-8" standalone="yes"?>
<Relationships xmlns="http://schemas.openxmlformats.org/package/2006/relationships"><Relationship Id="rId2" Type="http://schemas.openxmlformats.org/officeDocument/2006/relationships/themeOverride" Target="../theme/themeOverride42.xml"/><Relationship Id="rId1" Type="http://schemas.openxmlformats.org/officeDocument/2006/relationships/package" Target="../embeddings/Workbook78.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Workbook80.xlsx"/></Relationships>
</file>

<file path=word/charts/_rels/chart76.xml.rels><?xml version="1.0" encoding="UTF-8" standalone="yes"?>
<Relationships xmlns="http://schemas.openxmlformats.org/package/2006/relationships"><Relationship Id="rId2" Type="http://schemas.openxmlformats.org/officeDocument/2006/relationships/themeOverride" Target="../theme/themeOverride39.xml"/><Relationship Id="rId1" Type="http://schemas.openxmlformats.org/officeDocument/2006/relationships/package" Target="../embeddings/Workbook74.xlsx"/></Relationships>
</file>

<file path=word/charts/_rels/chart77.xml.rels><?xml version="1.0" encoding="UTF-8" standalone="yes"?>
<Relationships xmlns="http://schemas.openxmlformats.org/package/2006/relationships"><Relationship Id="rId2" Type="http://schemas.openxmlformats.org/officeDocument/2006/relationships/themeOverride" Target="../theme/themeOverride38.xml"/><Relationship Id="rId1" Type="http://schemas.openxmlformats.org/officeDocument/2006/relationships/package" Target="../embeddings/Workbook73.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Workbook75.xlsx"/></Relationships>
</file>

<file path=word/charts/_rels/chart79.xml.rels><?xml version="1.0" encoding="UTF-8" standalone="yes"?>
<Relationships xmlns="http://schemas.openxmlformats.org/package/2006/relationships"><Relationship Id="rId2" Type="http://schemas.openxmlformats.org/officeDocument/2006/relationships/themeOverride" Target="../theme/themeOverride41.xml"/><Relationship Id="rId1" Type="http://schemas.openxmlformats.org/officeDocument/2006/relationships/package" Target="../embeddings/Workbook7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80.xml.rels><?xml version="1.0" encoding="UTF-8" standalone="yes"?>
<Relationships xmlns="http://schemas.openxmlformats.org/package/2006/relationships"><Relationship Id="rId2" Type="http://schemas.openxmlformats.org/officeDocument/2006/relationships/themeOverride" Target="../theme/themeOverride40.xml"/><Relationship Id="rId1" Type="http://schemas.openxmlformats.org/officeDocument/2006/relationships/package" Target="../embeddings/Workbook76.xlsx"/></Relationships>
</file>

<file path=word/charts/_rels/chart81.xml.rels><?xml version="1.0" encoding="UTF-8" standalone="yes"?>
<Relationships xmlns="http://schemas.openxmlformats.org/package/2006/relationships"><Relationship Id="rId2" Type="http://schemas.openxmlformats.org/officeDocument/2006/relationships/themeOverride" Target="../theme/themeOverride44.xml"/><Relationship Id="rId1" Type="http://schemas.openxmlformats.org/officeDocument/2006/relationships/package" Target="../embeddings/Workbook81.xlsx"/></Relationships>
</file>

<file path=word/charts/_rels/chart82.xml.rels><?xml version="1.0" encoding="UTF-8" standalone="yes"?>
<Relationships xmlns="http://schemas.openxmlformats.org/package/2006/relationships"><Relationship Id="rId2" Type="http://schemas.openxmlformats.org/officeDocument/2006/relationships/themeOverride" Target="../theme/themeOverride52.xml"/><Relationship Id="rId1" Type="http://schemas.openxmlformats.org/officeDocument/2006/relationships/package" Target="../embeddings/Workbook95.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Workbook99.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Workbook94.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Workbook100.xlsx"/></Relationships>
</file>

<file path=word/charts/_rels/chart86.xml.rels><?xml version="1.0" encoding="UTF-8" standalone="yes"?>
<Relationships xmlns="http://schemas.openxmlformats.org/package/2006/relationships"><Relationship Id="rId2" Type="http://schemas.openxmlformats.org/officeDocument/2006/relationships/themeOverride" Target="../theme/themeOverride53.xml"/><Relationship Id="rId1" Type="http://schemas.openxmlformats.org/officeDocument/2006/relationships/package" Target="../embeddings/Workbook96.xlsx"/></Relationships>
</file>

<file path=word/charts/_rels/chart87.xml.rels><?xml version="1.0" encoding="UTF-8" standalone="yes"?>
<Relationships xmlns="http://schemas.openxmlformats.org/package/2006/relationships"><Relationship Id="rId2" Type="http://schemas.openxmlformats.org/officeDocument/2006/relationships/themeOverride" Target="../theme/themeOverride51.xml"/><Relationship Id="rId1" Type="http://schemas.openxmlformats.org/officeDocument/2006/relationships/package" Target="../embeddings/Workbook93.xlsx"/></Relationships>
</file>

<file path=word/charts/_rels/chart88.xml.rels><?xml version="1.0" encoding="UTF-8" standalone="yes"?>
<Relationships xmlns="http://schemas.openxmlformats.org/package/2006/relationships"><Relationship Id="rId2" Type="http://schemas.openxmlformats.org/officeDocument/2006/relationships/themeOverride" Target="../theme/themeOverride54.xml"/><Relationship Id="rId1" Type="http://schemas.openxmlformats.org/officeDocument/2006/relationships/package" Target="../embeddings/Workbook97.xlsx"/></Relationships>
</file>

<file path=word/charts/_rels/chart89.xml.rels><?xml version="1.0" encoding="UTF-8" standalone="yes"?>
<Relationships xmlns="http://schemas.openxmlformats.org/package/2006/relationships"><Relationship Id="rId2" Type="http://schemas.openxmlformats.org/officeDocument/2006/relationships/themeOverride" Target="../theme/themeOverride55.xml"/><Relationship Id="rId1" Type="http://schemas.openxmlformats.org/officeDocument/2006/relationships/package" Target="../embeddings/Workbook98.xlsx"/></Relationships>
</file>

<file path=word/charts/_rels/chart9.xml.rels><?xml version="1.0" encoding="UTF-8" standalone="yes"?>
<Relationships xmlns="http://schemas.openxmlformats.org/package/2006/relationships"><Relationship Id="rId2" Type="http://schemas.openxmlformats.org/officeDocument/2006/relationships/themeOverride" Target="../theme/themeOverride5.xml"/><Relationship Id="rId1" Type="http://schemas.openxmlformats.org/officeDocument/2006/relationships/package" Target="../embeddings/Workbook7.xlsx"/></Relationships>
</file>

<file path=word/charts/_rels/chart90.xml.rels><?xml version="1.0" encoding="UTF-8" standalone="yes"?>
<Relationships xmlns="http://schemas.openxmlformats.org/package/2006/relationships"><Relationship Id="rId2" Type="http://schemas.openxmlformats.org/officeDocument/2006/relationships/themeOverride" Target="../theme/themeOverride50.xml"/><Relationship Id="rId1" Type="http://schemas.openxmlformats.org/officeDocument/2006/relationships/package" Target="../embeddings/Workbook92.xlsx"/></Relationships>
</file>

<file path=word/charts/_rels/chart91.xml.rels><?xml version="1.0" encoding="UTF-8" standalone="yes"?>
<Relationships xmlns="http://schemas.openxmlformats.org/package/2006/relationships"><Relationship Id="rId2" Type="http://schemas.openxmlformats.org/officeDocument/2006/relationships/themeOverride" Target="../theme/themeOverride56.xml"/><Relationship Id="rId1" Type="http://schemas.openxmlformats.org/officeDocument/2006/relationships/package" Target="../embeddings/Workbook101.xlsx"/></Relationships>
</file>

<file path=word/charts/_rels/chart92.xml.rels><?xml version="1.0" encoding="UTF-8" standalone="yes"?>
<Relationships xmlns="http://schemas.openxmlformats.org/package/2006/relationships"><Relationship Id="rId2" Type="http://schemas.openxmlformats.org/officeDocument/2006/relationships/themeOverride" Target="../theme/themeOverride48.xml"/><Relationship Id="rId1" Type="http://schemas.openxmlformats.org/officeDocument/2006/relationships/package" Target="../embeddings/Workbook87.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Workbook91.xlsx"/></Relationships>
</file>

<file path=word/charts/_rels/chart94.xml.rels><?xml version="1.0" encoding="UTF-8" standalone="yes"?>
<Relationships xmlns="http://schemas.openxmlformats.org/package/2006/relationships"><Relationship Id="rId2" Type="http://schemas.openxmlformats.org/officeDocument/2006/relationships/themeOverride" Target="../theme/themeOverride49.xml"/><Relationship Id="rId1" Type="http://schemas.openxmlformats.org/officeDocument/2006/relationships/package" Target="../embeddings/Workbook90.xlsx"/></Relationships>
</file>

<file path=word/charts/_rels/chart95.xml.rels><?xml version="1.0" encoding="UTF-8" standalone="yes"?>
<Relationships xmlns="http://schemas.openxmlformats.org/package/2006/relationships"><Relationship Id="rId2" Type="http://schemas.openxmlformats.org/officeDocument/2006/relationships/themeOverride" Target="../theme/themeOverride45.xml"/><Relationship Id="rId1" Type="http://schemas.openxmlformats.org/officeDocument/2006/relationships/package" Target="../embeddings/Workbook82.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Workbook88.xlsx"/></Relationships>
</file>

<file path=word/charts/_rels/chart97.xml.rels><?xml version="1.0" encoding="UTF-8" standalone="yes"?>
<Relationships xmlns="http://schemas.openxmlformats.org/package/2006/relationships"><Relationship Id="rId2" Type="http://schemas.openxmlformats.org/officeDocument/2006/relationships/themeOverride" Target="../theme/themeOverride47.xml"/><Relationship Id="rId1" Type="http://schemas.openxmlformats.org/officeDocument/2006/relationships/package" Target="../embeddings/Workbook85.xlsx"/></Relationships>
</file>

<file path=word/charts/_rels/chart98.xml.rels><?xml version="1.0" encoding="UTF-8" standalone="yes"?>
<Relationships xmlns="http://schemas.openxmlformats.org/package/2006/relationships"><Relationship Id="rId1" Type="http://schemas.openxmlformats.org/officeDocument/2006/relationships/package" Target="../embeddings/Workbook89.xlsx"/></Relationships>
</file>

<file path=word/charts/_rels/chart99.xml.rels><?xml version="1.0" encoding="UTF-8" standalone="yes"?>
<Relationships xmlns="http://schemas.openxmlformats.org/package/2006/relationships"><Relationship Id="rId1" Type="http://schemas.openxmlformats.org/officeDocument/2006/relationships/package" Target="../embeddings/Workbook8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c:f>
              <c:strCache>
                <c:ptCount val="1"/>
                <c:pt idx="0">
                  <c:v>本科生</c:v>
                </c:pt>
              </c:strCache>
            </c:strRef>
          </c:tx>
          <c:spPr>
            <a:effectLst/>
          </c:spPr>
          <c:dLbls>
            <c:delete val="1"/>
          </c:dLbls>
          <c:cat>
            <c:strRef>
              <c:f>Sheet1!$B$1:$E$1</c:f>
              <c:strCache>
                <c:ptCount val="4"/>
                <c:pt idx="0">
                  <c:v>北京</c:v>
                </c:pt>
                <c:pt idx="1">
                  <c:v>东部地区</c:v>
                </c:pt>
                <c:pt idx="2">
                  <c:v>中部地区</c:v>
                </c:pt>
                <c:pt idx="3">
                  <c:v>西部地区</c:v>
                </c:pt>
              </c:strCache>
            </c:strRef>
          </c:cat>
          <c:val>
            <c:numRef>
              <c:f>Sheet1!$B$2:$E$2</c:f>
              <c:numCache>
                <c:formatCode>0.00%</c:formatCode>
                <c:ptCount val="4"/>
                <c:pt idx="0">
                  <c:v>0.6582</c:v>
                </c:pt>
                <c:pt idx="1">
                  <c:v>0.2618</c:v>
                </c:pt>
                <c:pt idx="2">
                  <c:v>0.04</c:v>
                </c:pt>
                <c:pt idx="3">
                  <c:v>0.04</c:v>
                </c:pt>
              </c:numCache>
            </c:numRef>
          </c:val>
          <c:smooth val="0"/>
        </c:ser>
        <c:ser>
          <c:idx val="1"/>
          <c:order val="1"/>
          <c:tx>
            <c:strRef>
              <c:f>Sheet1!$A$3</c:f>
              <c:strCache>
                <c:ptCount val="1"/>
                <c:pt idx="0">
                  <c:v>硕士生</c:v>
                </c:pt>
              </c:strCache>
            </c:strRef>
          </c:tx>
          <c:spPr>
            <a:ln w="28575" cap="rnd" cmpd="sng" algn="ctr">
              <a:solidFill>
                <a:schemeClr val="accent5">
                  <a:tint val="77000"/>
                  <a:shade val="95000"/>
                  <a:satMod val="105000"/>
                </a:schemeClr>
              </a:solidFill>
              <a:prstDash val="solid"/>
              <a:round/>
            </a:ln>
            <a:effectLst/>
          </c:spPr>
          <c:marker>
            <c:spPr>
              <a:solidFill>
                <a:schemeClr val="accent5">
                  <a:tint val="77000"/>
                </a:schemeClr>
              </a:solidFill>
              <a:ln w="9525" cap="flat" cmpd="sng" algn="ctr">
                <a:solidFill>
                  <a:schemeClr val="accent5">
                    <a:tint val="77000"/>
                    <a:shade val="95000"/>
                    <a:satMod val="105000"/>
                  </a:schemeClr>
                </a:solidFill>
                <a:prstDash val="solid"/>
                <a:round/>
              </a:ln>
              <a:effectLst/>
            </c:spPr>
          </c:marker>
          <c:dLbls>
            <c:delete val="1"/>
          </c:dLbls>
          <c:cat>
            <c:strRef>
              <c:f>Sheet1!$B$1:$E$1</c:f>
              <c:strCache>
                <c:ptCount val="4"/>
                <c:pt idx="0">
                  <c:v>北京</c:v>
                </c:pt>
                <c:pt idx="1">
                  <c:v>东部地区</c:v>
                </c:pt>
                <c:pt idx="2">
                  <c:v>中部地区</c:v>
                </c:pt>
                <c:pt idx="3">
                  <c:v>西部地区</c:v>
                </c:pt>
              </c:strCache>
            </c:strRef>
          </c:cat>
          <c:val>
            <c:numRef>
              <c:f>Sheet1!$B$3:$E$3</c:f>
              <c:numCache>
                <c:formatCode>0.00%</c:formatCode>
                <c:ptCount val="4"/>
                <c:pt idx="0">
                  <c:v>0.675</c:v>
                </c:pt>
                <c:pt idx="1">
                  <c:v>0.2375</c:v>
                </c:pt>
                <c:pt idx="2">
                  <c:v>0.0625</c:v>
                </c:pt>
                <c:pt idx="3">
                  <c:v>0.025</c:v>
                </c:pt>
              </c:numCache>
            </c:numRef>
          </c:val>
          <c:smooth val="0"/>
        </c:ser>
        <c:ser>
          <c:idx val="2"/>
          <c:order val="2"/>
          <c:tx>
            <c:strRef>
              <c:f>Sheet1!$A$4</c:f>
              <c:strCache>
                <c:ptCount val="1"/>
                <c:pt idx="0">
                  <c:v>博士生</c:v>
                </c:pt>
              </c:strCache>
            </c:strRef>
          </c:tx>
          <c:dLbls>
            <c:delete val="1"/>
          </c:dLbls>
          <c:cat>
            <c:strRef>
              <c:f>Sheet1!$B$1:$E$1</c:f>
              <c:strCache>
                <c:ptCount val="4"/>
                <c:pt idx="0">
                  <c:v>北京</c:v>
                </c:pt>
                <c:pt idx="1">
                  <c:v>东部地区</c:v>
                </c:pt>
                <c:pt idx="2">
                  <c:v>中部地区</c:v>
                </c:pt>
                <c:pt idx="3">
                  <c:v>西部地区</c:v>
                </c:pt>
              </c:strCache>
            </c:strRef>
          </c:cat>
          <c:val>
            <c:numRef>
              <c:f>Sheet1!$B$4:$E$4</c:f>
              <c:numCache>
                <c:formatCode>0.00%</c:formatCode>
                <c:ptCount val="4"/>
                <c:pt idx="0">
                  <c:v>0.55</c:v>
                </c:pt>
                <c:pt idx="1">
                  <c:v>0.35</c:v>
                </c:pt>
                <c:pt idx="3">
                  <c:v>0.1</c:v>
                </c:pt>
              </c:numCache>
            </c:numRef>
          </c:val>
          <c:smooth val="0"/>
        </c:ser>
        <c:ser>
          <c:idx val="3"/>
          <c:order val="3"/>
          <c:tx>
            <c:strRef>
              <c:f>Sheet1!$A$5</c:f>
              <c:strCache>
                <c:ptCount val="1"/>
                <c:pt idx="0">
                  <c:v>总体</c:v>
                </c:pt>
              </c:strCache>
            </c:strRef>
          </c:tx>
          <c:dLbls>
            <c:delete val="1"/>
          </c:dLbls>
          <c:cat>
            <c:strRef>
              <c:f>Sheet1!$B$1:$E$1</c:f>
              <c:strCache>
                <c:ptCount val="4"/>
                <c:pt idx="0">
                  <c:v>北京</c:v>
                </c:pt>
                <c:pt idx="1">
                  <c:v>东部地区</c:v>
                </c:pt>
                <c:pt idx="2">
                  <c:v>中部地区</c:v>
                </c:pt>
                <c:pt idx="3">
                  <c:v>西部地区</c:v>
                </c:pt>
              </c:strCache>
            </c:strRef>
          </c:cat>
          <c:val>
            <c:numRef>
              <c:f>Sheet1!$B$5:$E$5</c:f>
              <c:numCache>
                <c:formatCode>0.00%</c:formatCode>
                <c:ptCount val="4"/>
                <c:pt idx="0">
                  <c:v>0.656</c:v>
                </c:pt>
                <c:pt idx="1">
                  <c:v>0.2613</c:v>
                </c:pt>
                <c:pt idx="2">
                  <c:v>0.0427</c:v>
                </c:pt>
                <c:pt idx="3">
                  <c:v>0.04</c:v>
                </c:pt>
              </c:numCache>
            </c:numRef>
          </c:val>
          <c:smooth val="0"/>
        </c:ser>
        <c:dLbls>
          <c:showLegendKey val="0"/>
          <c:showVal val="0"/>
          <c:showCatName val="0"/>
          <c:showSerName val="0"/>
          <c:showPercent val="0"/>
          <c:showBubbleSize val="0"/>
        </c:dLbls>
        <c:marker val="1"/>
        <c:smooth val="0"/>
        <c:axId val="304698112"/>
        <c:axId val="304699648"/>
      </c:lineChart>
      <c:catAx>
        <c:axId val="30469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4699648"/>
        <c:crosses val="autoZero"/>
        <c:auto val="1"/>
        <c:lblAlgn val="ctr"/>
        <c:lblOffset val="100"/>
        <c:noMultiLvlLbl val="0"/>
      </c:catAx>
      <c:valAx>
        <c:axId val="304699648"/>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4698112"/>
        <c:crosses val="autoZero"/>
        <c:crossBetween val="between"/>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dTable>
      <c:spPr>
        <a:noFill/>
        <a:ln>
          <a:noFill/>
        </a:ln>
        <a:effectLst/>
      </c:spPr>
    </c:plotArea>
    <c:plotVisOnly val="1"/>
    <c:dispBlanksAs val="gap"/>
    <c:showDLblsOverMax val="0"/>
  </c:chart>
  <c:spPr>
    <a:no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755711335456109"/>
          <c:y val="0.0251858014240174"/>
          <c:w val="0.91606940981907"/>
          <c:h val="0.862654721961763"/>
        </c:manualLayout>
      </c:layout>
      <c:barChart>
        <c:barDir val="col"/>
        <c:grouping val="clustered"/>
        <c:varyColors val="0"/>
        <c:ser>
          <c:idx val="0"/>
          <c:order val="0"/>
          <c:tx>
            <c:strRef>
              <c:f>Sheet1!$B$1</c:f>
              <c:strCache>
                <c:ptCount val="1"/>
                <c:pt idx="0">
                  <c:v/>
                </c:pt>
              </c:strCache>
            </c:strRef>
          </c:tx>
          <c:spPr>
            <a:solidFill>
              <a:schemeClr val="accent5">
                <a:alpha val="80000"/>
              </a:schemeClr>
            </a:solidFill>
            <a:ln>
              <a:noFill/>
            </a:ln>
            <a:effectLst/>
          </c:spPr>
          <c:invertIfNegative val="0"/>
          <c:dPt>
            <c:idx val="0"/>
            <c:invertIfNegative val="0"/>
            <c:bubble3D val="0"/>
            <c:spPr>
              <a:solidFill>
                <a:srgbClr val="358DA5">
                  <a:alpha val="80000"/>
                </a:srgbClr>
              </a:solidFill>
              <a:ln>
                <a:noFill/>
              </a:ln>
              <a:effectLst/>
            </c:spPr>
          </c:dPt>
          <c:dPt>
            <c:idx val="1"/>
            <c:invertIfNegative val="0"/>
            <c:bubble3D val="0"/>
            <c:spPr>
              <a:solidFill>
                <a:srgbClr val="358DA5">
                  <a:alpha val="80000"/>
                </a:srgbClr>
              </a:solidFill>
              <a:ln>
                <a:noFill/>
              </a:ln>
              <a:effectLst/>
            </c:spPr>
          </c:dPt>
          <c:dPt>
            <c:idx val="3"/>
            <c:invertIfNegative val="0"/>
            <c:bubble3D val="0"/>
            <c:spPr>
              <a:solidFill>
                <a:schemeClr val="accent5">
                  <a:lumMod val="60000"/>
                  <a:lumOff val="40000"/>
                  <a:alpha val="80000"/>
                </a:schemeClr>
              </a:solidFill>
              <a:ln>
                <a:noFill/>
              </a:ln>
              <a:effectLst/>
            </c:spPr>
          </c:dPt>
          <c:dPt>
            <c:idx val="4"/>
            <c:invertIfNegative val="0"/>
            <c:bubble3D val="0"/>
            <c:spPr>
              <a:solidFill>
                <a:schemeClr val="accent5">
                  <a:lumMod val="60000"/>
                  <a:lumOff val="40000"/>
                  <a:alpha val="80000"/>
                </a:schemeClr>
              </a:solidFill>
              <a:ln>
                <a:noFill/>
              </a:ln>
              <a:effectLst/>
            </c:spPr>
          </c:dPt>
          <c:dLbls>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0"/>
                <c15:leaderLines/>
              </c:ext>
            </c:extLst>
          </c:dLbls>
          <c:cat>
            <c:strRef>
              <c:f>Sheet1!$A$2:$A$6</c:f>
              <c:strCache>
                <c:ptCount val="5"/>
                <c:pt idx="0">
                  <c:v>很愿意</c:v>
                </c:pt>
                <c:pt idx="1">
                  <c:v>愿意</c:v>
                </c:pt>
                <c:pt idx="2">
                  <c:v>不好说</c:v>
                </c:pt>
                <c:pt idx="3">
                  <c:v>不愿意</c:v>
                </c:pt>
                <c:pt idx="4">
                  <c:v>很不愿意</c:v>
                </c:pt>
              </c:strCache>
            </c:strRef>
          </c:cat>
          <c:val>
            <c:numRef>
              <c:f>Sheet1!$B$2:$B$6</c:f>
              <c:numCache>
                <c:formatCode>0.0%</c:formatCode>
                <c:ptCount val="5"/>
                <c:pt idx="0">
                  <c:v>0.4416</c:v>
                </c:pt>
                <c:pt idx="1">
                  <c:v>0.3942</c:v>
                </c:pt>
                <c:pt idx="2">
                  <c:v>0.1241</c:v>
                </c:pt>
                <c:pt idx="3">
                  <c:v>0.0292</c:v>
                </c:pt>
                <c:pt idx="4">
                  <c:v>0.0109</c:v>
                </c:pt>
              </c:numCache>
            </c:numRef>
          </c:val>
          <c:extLst>
            <c:ext xmlns:c15="http://schemas.microsoft.com/office/drawing/2012/chart" uri="{02D57815-91ED-43cb-92C2-25804820EDAC}">
              <c15:datalabelsRange>
                <c15:f>Sheet1!$C$2:$C$6</c15:f>
                <c15:dlblRangeCache>
                  <c:ptCount val="5"/>
                </c15:dlblRangeCache>
              </c15:datalabelsRange>
            </c:ext>
          </c:extLst>
        </c:ser>
        <c:dLbls>
          <c:showLegendKey val="0"/>
          <c:showVal val="0"/>
          <c:showCatName val="0"/>
          <c:showSerName val="0"/>
          <c:showPercent val="0"/>
          <c:showBubbleSize val="0"/>
        </c:dLbls>
        <c:gapWidth val="182"/>
        <c:axId val="343963520"/>
        <c:axId val="343965056"/>
      </c:barChart>
      <c:catAx>
        <c:axId val="34396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43965056"/>
        <c:crosses val="autoZero"/>
        <c:auto val="1"/>
        <c:lblAlgn val="ctr"/>
        <c:lblOffset val="100"/>
        <c:noMultiLvlLbl val="0"/>
      </c:catAx>
      <c:valAx>
        <c:axId val="343965056"/>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43963520"/>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ln>
            <a:noFill/>
          </a:ln>
        </a:defRPr>
      </a:pPr>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4"/>
          <c:w val="0.91606940981907"/>
          <c:h val="0.810360940693385"/>
        </c:manualLayout>
      </c:layout>
      <c:barChart>
        <c:barDir val="col"/>
        <c:grouping val="clustered"/>
        <c:varyColors val="0"/>
        <c:ser>
          <c:idx val="0"/>
          <c:order val="0"/>
          <c:tx>
            <c:strRef>
              <c:f>Sheet1!$B$1</c:f>
              <c:strCache>
                <c:ptCount val="1"/>
                <c:pt idx="0">
                  <c:v>2016届</c:v>
                </c:pt>
              </c:strCache>
            </c:strRef>
          </c:tx>
          <c:spPr>
            <a:solidFill>
              <a:schemeClr val="accent5">
                <a:alpha val="85000"/>
              </a:schemeClr>
            </a:solidFill>
            <a:ln w="9525" cap="flat" cmpd="sng" algn="ctr">
              <a:solidFill>
                <a:schemeClr val="lt1">
                  <a:alpha val="50000"/>
                </a:schemeClr>
              </a:solidFill>
              <a:round/>
            </a:ln>
            <a:effectLst/>
          </c:spPr>
          <c:invertIfNegative val="0"/>
          <c:dLbls>
            <c:dLbl>
              <c:idx val="0"/>
              <c:layout>
                <c:manualLayout>
                  <c:x val="0"/>
                  <c:y val="0.0094278763717822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73005787978524e-17"/>
                  <c:y val="0.0094278763717822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期望</c:v>
                </c:pt>
                <c:pt idx="1">
                  <c:v>落实</c:v>
                </c:pt>
              </c:strCache>
            </c:strRef>
          </c:cat>
          <c:val>
            <c:numRef>
              <c:f>Sheet1!$B$2:$B$3</c:f>
              <c:numCache>
                <c:formatCode>General</c:formatCode>
                <c:ptCount val="2"/>
                <c:pt idx="0">
                  <c:v>11.82</c:v>
                </c:pt>
                <c:pt idx="1">
                  <c:v>9.85000000000001</c:v>
                </c:pt>
              </c:numCache>
            </c:numRef>
          </c:val>
        </c:ser>
        <c:ser>
          <c:idx val="1"/>
          <c:order val="1"/>
          <c:tx>
            <c:strRef>
              <c:f>Sheet1!$C$1</c:f>
              <c:strCache>
                <c:ptCount val="1"/>
                <c:pt idx="0">
                  <c:v>2017届</c:v>
                </c:pt>
              </c:strCache>
            </c:strRef>
          </c:tx>
          <c:invertIfNegative val="0"/>
          <c:dLbls>
            <c:dLbl>
              <c:idx val="0"/>
              <c:layout/>
              <c:numFmt formatCode="General" sourceLinked="1"/>
              <c:spPr>
                <a:noFill/>
                <a:ln>
                  <a:noFill/>
                </a:ln>
                <a:effectLst/>
              </c:spPr>
              <c:txPr>
                <a:bodyPr rot="0" spcFirstLastPara="0" vertOverflow="ellipsis" vert="horz" wrap="square" lIns="38100" tIns="19050" rIns="38100" bIns="19050" anchor="ctr" anchorCtr="1">
                  <a:spAutoFit/>
                </a:bodyPr>
                <a:lstStyle/>
                <a:p>
                  <a:pPr>
                    <a:defRPr lang="zh-CN" sz="1000" b="1"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00238095238095247"/>
                  <c:y val="0.00949893137022085"/>
                </c:manualLayout>
              </c:layout>
              <c:numFmt formatCode="General" sourceLinked="1"/>
              <c:spPr>
                <a:noFill/>
                <a:ln>
                  <a:noFill/>
                </a:ln>
                <a:effectLst/>
              </c:spPr>
              <c:txPr>
                <a:bodyPr rot="0" spcFirstLastPara="0" vertOverflow="ellipsis" vert="horz" wrap="square" lIns="38100" tIns="19050" rIns="38100" bIns="19050" anchor="ctr" anchorCtr="1">
                  <a:spAutoFit/>
                </a:bodyPr>
                <a:lstStyle/>
                <a:p>
                  <a:pPr>
                    <a:defRPr lang="zh-CN" sz="1000" b="1"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Sheet1!$A$2:$A$3</c:f>
              <c:strCache>
                <c:ptCount val="2"/>
                <c:pt idx="0">
                  <c:v>期望</c:v>
                </c:pt>
                <c:pt idx="1">
                  <c:v>落实</c:v>
                </c:pt>
              </c:strCache>
            </c:strRef>
          </c:cat>
          <c:val>
            <c:numRef>
              <c:f>Sheet1!$C$2:$C$3</c:f>
              <c:numCache>
                <c:formatCode>General</c:formatCode>
                <c:ptCount val="2"/>
                <c:pt idx="0">
                  <c:v>13.93</c:v>
                </c:pt>
                <c:pt idx="1">
                  <c:v>10.17</c:v>
                </c:pt>
              </c:numCache>
            </c:numRef>
          </c:val>
        </c:ser>
        <c:dLbls>
          <c:showLegendKey val="0"/>
          <c:showVal val="1"/>
          <c:showCatName val="0"/>
          <c:showSerName val="0"/>
          <c:showPercent val="0"/>
          <c:showBubbleSize val="0"/>
        </c:dLbls>
        <c:gapWidth val="299"/>
        <c:axId val="397986048"/>
        <c:axId val="398065664"/>
      </c:barChart>
      <c:catAx>
        <c:axId val="397986048"/>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98065664"/>
        <c:crosses val="autoZero"/>
        <c:auto val="1"/>
        <c:lblAlgn val="ctr"/>
        <c:lblOffset val="100"/>
        <c:noMultiLvlLbl val="0"/>
      </c:catAx>
      <c:valAx>
        <c:axId val="39806566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_);[Red]\(#,##0.0\)" sourceLinked="0"/>
        <c:majorTickMark val="out"/>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crossAx val="397986048"/>
        <c:crosses val="autoZero"/>
        <c:crossBetween val="between"/>
      </c:valAx>
      <c:spPr>
        <a:noFill/>
        <a:ln>
          <a:noFill/>
        </a:ln>
        <a:effectLst/>
      </c:spPr>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1500255176438"/>
          <c:y val="0.128859247432781"/>
          <c:w val="0.436856959525672"/>
          <c:h val="0.843552777420266"/>
        </c:manualLayout>
      </c:layout>
      <c:pieChart>
        <c:varyColors val="1"/>
        <c:ser>
          <c:idx val="0"/>
          <c:order val="0"/>
          <c:tx>
            <c:strRef>
              <c:f>Sheet1!$B$1</c:f>
              <c:strCache>
                <c:ptCount val="1"/>
                <c:pt idx="0">
                  <c:v/>
                </c:pt>
              </c:strCache>
            </c:strRef>
          </c:tx>
          <c:explosion val="0"/>
          <c:dPt>
            <c:idx val="0"/>
            <c:bubble3D val="0"/>
            <c:explosion val="6"/>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0640080381613701"/>
                  <c:y val="0.00731885825811174"/>
                </c:manualLayout>
              </c:layout>
              <c:numFmt formatCode="0.00%" sourceLinked="0"/>
              <c:spPr>
                <a:no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1"/>
              <c:layout/>
              <c:numFmt formatCode="0.00%" sourceLinked="0"/>
              <c:spPr>
                <a:no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extLst>
            </c:dLbl>
            <c:dLbl>
              <c:idx val="2"/>
              <c:layout/>
              <c:numFmt formatCode="0.00%" sourceLinked="0"/>
              <c:spPr>
                <a:no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extLst>
            </c:dLbl>
            <c:numFmt formatCode="0.00%" sourceLinked="0"/>
            <c:spPr>
              <a:no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p>
            </c:txPr>
            <c:dLblPos val="bestFit"/>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ext>
            </c:extLst>
          </c:dLbls>
          <c:cat>
            <c:strRef>
              <c:f>Sheet1!$A$2:$A$4</c:f>
              <c:strCache>
                <c:ptCount val="3"/>
                <c:pt idx="0">
                  <c:v>有五险</c:v>
                </c:pt>
                <c:pt idx="1">
                  <c:v>五险不全</c:v>
                </c:pt>
                <c:pt idx="2">
                  <c:v>没有五险</c:v>
                </c:pt>
              </c:strCache>
            </c:strRef>
          </c:cat>
          <c:val>
            <c:numRef>
              <c:f>Sheet1!$B$2:$B$4</c:f>
              <c:numCache>
                <c:formatCode>###0"人"</c:formatCode>
                <c:ptCount val="3"/>
                <c:pt idx="0">
                  <c:v>53</c:v>
                </c:pt>
                <c:pt idx="1">
                  <c:v>3</c:v>
                </c:pt>
                <c:pt idx="2">
                  <c:v>4</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23087827856009"/>
          <c:y val="0.0435938060933873"/>
          <c:w val="0.90179694689143"/>
          <c:h val="0.731296341863517"/>
        </c:manualLayout>
      </c:layout>
      <c:barChart>
        <c:barDir val="col"/>
        <c:grouping val="clustered"/>
        <c:varyColors val="0"/>
        <c:ser>
          <c:idx val="0"/>
          <c:order val="0"/>
          <c:tx>
            <c:strRef>
              <c:f>Sheet1!$B$1</c:f>
              <c:strCache>
                <c:ptCount val="1"/>
                <c:pt idx="0">
                  <c:v>2016届</c:v>
                </c:pt>
              </c:strCache>
            </c:strRef>
          </c:tx>
          <c:spPr>
            <a:solidFill>
              <a:schemeClr val="accent5">
                <a:alpha val="91000"/>
              </a:schemeClr>
            </a:solidFill>
          </c:spPr>
          <c:invertIfNegative val="0"/>
          <c:dPt>
            <c:idx val="0"/>
            <c:invertIfNegative val="0"/>
            <c:bubble3D val="0"/>
            <c:explosion val="6"/>
            <c:spPr>
              <a:solidFill>
                <a:schemeClr val="accent5">
                  <a:alpha val="91000"/>
                </a:schemeClr>
              </a:solidFill>
              <a:ln w="19050">
                <a:solidFill>
                  <a:schemeClr val="lt1"/>
                </a:solidFill>
              </a:ln>
              <a:effectLst/>
            </c:spPr>
          </c:dPt>
          <c:dPt>
            <c:idx val="1"/>
            <c:invertIfNegative val="0"/>
            <c:bubble3D val="0"/>
            <c:spPr>
              <a:solidFill>
                <a:schemeClr val="accent5">
                  <a:alpha val="91000"/>
                </a:schemeClr>
              </a:solidFill>
              <a:ln w="19050">
                <a:solidFill>
                  <a:schemeClr val="lt1"/>
                </a:solidFill>
              </a:ln>
              <a:effectLst/>
            </c:spPr>
          </c:dPt>
          <c:dPt>
            <c:idx val="2"/>
            <c:invertIfNegative val="0"/>
            <c:bubble3D val="0"/>
            <c:spPr>
              <a:solidFill>
                <a:schemeClr val="accent5">
                  <a:alpha val="91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65000"/>
                        <a:lumOff val="3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Sheet1!$A$2:$A$4</c:f>
              <c:strCache>
                <c:ptCount val="3"/>
                <c:pt idx="0">
                  <c:v>有五险</c:v>
                </c:pt>
                <c:pt idx="1">
                  <c:v>五险不全</c:v>
                </c:pt>
                <c:pt idx="2">
                  <c:v>没有五险</c:v>
                </c:pt>
              </c:strCache>
            </c:strRef>
          </c:cat>
          <c:val>
            <c:numRef>
              <c:f>Sheet1!$B$2:$B$4</c:f>
              <c:numCache>
                <c:formatCode>###0.00%</c:formatCode>
                <c:ptCount val="3"/>
                <c:pt idx="0">
                  <c:v>0.857142857142858</c:v>
                </c:pt>
                <c:pt idx="1">
                  <c:v>0.0714285714285714</c:v>
                </c:pt>
                <c:pt idx="2">
                  <c:v>0.0714285714285714</c:v>
                </c:pt>
              </c:numCache>
            </c:numRef>
          </c:val>
        </c:ser>
        <c:ser>
          <c:idx val="1"/>
          <c:order val="1"/>
          <c:tx>
            <c:strRef>
              <c:f>Sheet1!$C$1</c:f>
              <c:strCache>
                <c:ptCount val="1"/>
                <c:pt idx="0">
                  <c:v>2017届</c:v>
                </c:pt>
              </c:strCache>
            </c:strRef>
          </c:tx>
          <c:spPr>
            <a:solidFill>
              <a:schemeClr val="accent5">
                <a:lumMod val="60000"/>
                <a:lumOff val="40000"/>
                <a:alpha val="83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65000"/>
                        <a:lumOff val="3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Sheet1!$A$2:$A$4</c:f>
              <c:strCache>
                <c:ptCount val="3"/>
                <c:pt idx="0">
                  <c:v>有五险</c:v>
                </c:pt>
                <c:pt idx="1">
                  <c:v>五险不全</c:v>
                </c:pt>
                <c:pt idx="2">
                  <c:v>没有五险</c:v>
                </c:pt>
              </c:strCache>
            </c:strRef>
          </c:cat>
          <c:val>
            <c:numRef>
              <c:f>Sheet1!$C$2:$C$4</c:f>
              <c:numCache>
                <c:formatCode>0.00%</c:formatCode>
                <c:ptCount val="3"/>
                <c:pt idx="0">
                  <c:v>0.8833</c:v>
                </c:pt>
                <c:pt idx="1">
                  <c:v>0.05</c:v>
                </c:pt>
                <c:pt idx="2">
                  <c:v>0.0667</c:v>
                </c:pt>
              </c:numCache>
            </c:numRef>
          </c:val>
        </c:ser>
        <c:dLbls>
          <c:showLegendKey val="0"/>
          <c:showVal val="1"/>
          <c:showCatName val="0"/>
          <c:showSerName val="0"/>
          <c:showPercent val="0"/>
          <c:showBubbleSize val="0"/>
        </c:dLbls>
        <c:gapWidth val="165"/>
        <c:overlap val="-5"/>
        <c:axId val="398306304"/>
        <c:axId val="398308096"/>
      </c:barChart>
      <c:catAx>
        <c:axId val="398306304"/>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398308096"/>
        <c:crosses val="autoZero"/>
        <c:auto val="1"/>
        <c:lblAlgn val="ctr"/>
        <c:lblOffset val="100"/>
        <c:noMultiLvlLbl val="0"/>
      </c:catAx>
      <c:valAx>
        <c:axId val="398308096"/>
        <c:scaling>
          <c:orientation val="minMax"/>
        </c:scaling>
        <c:delete val="0"/>
        <c:axPos val="l"/>
        <c:majorGridlines>
          <c:spPr>
            <a:ln w="9525" cap="flat" cmpd="sng" algn="ctr">
              <a:solidFill>
                <a:schemeClr val="bg1">
                  <a:lumMod val="75000"/>
                </a:schemeClr>
              </a:solidFill>
              <a:prstDash val="solid"/>
              <a:round/>
            </a:ln>
          </c:spPr>
        </c:majorGridlines>
        <c:numFmt formatCode="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398306304"/>
        <c:crosses val="autoZero"/>
        <c:crossBetween val="between"/>
      </c:valAx>
      <c:spPr>
        <a:noFill/>
        <a:ln>
          <a:noFill/>
        </a:ln>
        <a:effectLst/>
      </c:spPr>
    </c:plotArea>
    <c:legend>
      <c:legendPos val="b"/>
      <c:layout>
        <c:manualLayout>
          <c:xMode val="edge"/>
          <c:yMode val="edge"/>
          <c:x val="0.368461652859269"/>
          <c:y val="0.905929112480524"/>
          <c:w val="0.263076694281464"/>
          <c:h val="0.0940708875194776"/>
        </c:manualLayout>
      </c:layout>
      <c:overlay val="0"/>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solidFill>
            <a:schemeClr val="tx1">
              <a:lumMod val="65000"/>
              <a:lumOff val="35000"/>
            </a:schemeClr>
          </a:solidFill>
        </a:defRPr>
      </a:pPr>
    </a:p>
  </c:tx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1500255176438"/>
          <c:y val="0.128859247432781"/>
          <c:w val="0.468388560804904"/>
          <c:h val="0.745968141079139"/>
        </c:manualLayout>
      </c:layout>
      <c:doughnutChart>
        <c:varyColors val="1"/>
        <c:ser>
          <c:idx val="0"/>
          <c:order val="0"/>
          <c:tx>
            <c:strRef>
              <c:f>Sheet1!$B$1</c:f>
              <c:strCache>
                <c:ptCount val="1"/>
                <c:pt idx="0">
                  <c:v/>
                </c:pt>
              </c:strCache>
            </c:strRef>
          </c:tx>
          <c:explosion val="0"/>
          <c:dPt>
            <c:idx val="0"/>
            <c:bubble3D val="0"/>
            <c:explosion val="6"/>
            <c:spPr>
              <a:solidFill>
                <a:schemeClr val="accent1"/>
              </a:solidFill>
              <a:ln>
                <a:noFill/>
              </a:ln>
              <a:effectLst/>
            </c:spPr>
          </c:dPt>
          <c:dPt>
            <c:idx val="1"/>
            <c:bubble3D val="0"/>
            <c:spPr>
              <a:solidFill>
                <a:schemeClr val="accent3"/>
              </a:solidFill>
              <a:ln>
                <a:noFill/>
              </a:ln>
              <a:effectLst/>
            </c:spPr>
          </c:dPt>
          <c:dLbls>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ext>
            </c:extLst>
          </c:dLbls>
          <c:cat>
            <c:strRef>
              <c:f>Sheet1!$A$2:$A$3</c:f>
              <c:strCache>
                <c:ptCount val="2"/>
                <c:pt idx="0">
                  <c:v>有</c:v>
                </c:pt>
                <c:pt idx="1">
                  <c:v>没有</c:v>
                </c:pt>
              </c:strCache>
            </c:strRef>
          </c:cat>
          <c:val>
            <c:numRef>
              <c:f>Sheet1!$B$2:$B$3</c:f>
              <c:numCache>
                <c:formatCode>###0"人"</c:formatCode>
                <c:ptCount val="2"/>
                <c:pt idx="0">
                  <c:v>48</c:v>
                </c:pt>
                <c:pt idx="1">
                  <c:v>12</c:v>
                </c:pt>
              </c:numCache>
            </c:numRef>
          </c:val>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23088290434284"/>
          <c:y val="0.0384851318872498"/>
          <c:w val="0.90179694689143"/>
          <c:h val="0.785075773574281"/>
        </c:manualLayout>
      </c:layout>
      <c:barChart>
        <c:barDir val="col"/>
        <c:grouping val="clustered"/>
        <c:varyColors val="0"/>
        <c:ser>
          <c:idx val="0"/>
          <c:order val="0"/>
          <c:tx>
            <c:strRef>
              <c:f>Sheet1!$B$1</c:f>
              <c:strCache>
                <c:ptCount val="1"/>
                <c:pt idx="0">
                  <c:v>2016届</c:v>
                </c:pt>
              </c:strCache>
            </c:strRef>
          </c:tx>
          <c:spPr>
            <a:solidFill>
              <a:schemeClr val="accent5">
                <a:alpha val="91000"/>
              </a:schemeClr>
            </a:solidFill>
          </c:spPr>
          <c:invertIfNegative val="0"/>
          <c:dPt>
            <c:idx val="0"/>
            <c:invertIfNegative val="0"/>
            <c:bubble3D val="0"/>
            <c:explosion val="6"/>
            <c:spPr>
              <a:solidFill>
                <a:schemeClr val="accent5">
                  <a:alpha val="91000"/>
                </a:schemeClr>
              </a:solidFill>
              <a:ln w="19050">
                <a:solidFill>
                  <a:schemeClr val="lt1"/>
                </a:solidFill>
              </a:ln>
              <a:effectLst/>
            </c:spPr>
          </c:dPt>
          <c:dPt>
            <c:idx val="1"/>
            <c:invertIfNegative val="0"/>
            <c:bubble3D val="0"/>
            <c:spPr>
              <a:solidFill>
                <a:schemeClr val="accent5">
                  <a:alpha val="91000"/>
                </a:schemeClr>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Sheet1!$A$2:$A$3</c:f>
              <c:strCache>
                <c:ptCount val="2"/>
                <c:pt idx="0">
                  <c:v>有</c:v>
                </c:pt>
                <c:pt idx="1">
                  <c:v>没有</c:v>
                </c:pt>
              </c:strCache>
            </c:strRef>
          </c:cat>
          <c:val>
            <c:numRef>
              <c:f>Sheet1!$B$2:$B$3</c:f>
              <c:numCache>
                <c:formatCode>###0.0%</c:formatCode>
                <c:ptCount val="2"/>
                <c:pt idx="0">
                  <c:v>0.785714285714286</c:v>
                </c:pt>
                <c:pt idx="1">
                  <c:v>0.214285714285714</c:v>
                </c:pt>
              </c:numCache>
            </c:numRef>
          </c:val>
        </c:ser>
        <c:ser>
          <c:idx val="1"/>
          <c:order val="1"/>
          <c:tx>
            <c:strRef>
              <c:f>Sheet1!$C$1</c:f>
              <c:strCache>
                <c:ptCount val="1"/>
                <c:pt idx="0">
                  <c:v>2017届</c:v>
                </c:pt>
              </c:strCache>
            </c:strRef>
          </c:tx>
          <c:spPr>
            <a:solidFill>
              <a:schemeClr val="accent5">
                <a:lumMod val="60000"/>
                <a:lumOff val="40000"/>
                <a:alpha val="83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Sheet1!$A$2:$A$3</c:f>
              <c:strCache>
                <c:ptCount val="2"/>
                <c:pt idx="0">
                  <c:v>有</c:v>
                </c:pt>
                <c:pt idx="1">
                  <c:v>没有</c:v>
                </c:pt>
              </c:strCache>
            </c:strRef>
          </c:cat>
          <c:val>
            <c:numRef>
              <c:f>Sheet1!$C$2:$C$3</c:f>
              <c:numCache>
                <c:formatCode>0.00%</c:formatCode>
                <c:ptCount val="2"/>
                <c:pt idx="0">
                  <c:v>0.8</c:v>
                </c:pt>
                <c:pt idx="1">
                  <c:v>0.2</c:v>
                </c:pt>
              </c:numCache>
            </c:numRef>
          </c:val>
        </c:ser>
        <c:dLbls>
          <c:showLegendKey val="0"/>
          <c:showVal val="1"/>
          <c:showCatName val="0"/>
          <c:showSerName val="0"/>
          <c:showPercent val="0"/>
          <c:showBubbleSize val="0"/>
        </c:dLbls>
        <c:gapWidth val="318"/>
        <c:overlap val="-11"/>
        <c:axId val="398616064"/>
        <c:axId val="398617600"/>
      </c:barChart>
      <c:catAx>
        <c:axId val="398616064"/>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98617600"/>
        <c:crosses val="autoZero"/>
        <c:auto val="1"/>
        <c:lblAlgn val="ctr"/>
        <c:lblOffset val="100"/>
        <c:noMultiLvlLbl val="0"/>
      </c:catAx>
      <c:valAx>
        <c:axId val="398617600"/>
        <c:scaling>
          <c:orientation val="minMax"/>
        </c:scaling>
        <c:delete val="0"/>
        <c:axPos val="l"/>
        <c:majorGridlines>
          <c:spPr>
            <a:ln w="9525" cap="flat" cmpd="sng" algn="ctr">
              <a:solidFill>
                <a:schemeClr val="bg1">
                  <a:lumMod val="75000"/>
                </a:schemeClr>
              </a:solidFill>
              <a:prstDash val="solid"/>
              <a:round/>
            </a:ln>
          </c:spPr>
        </c:majorGridlines>
        <c:numFmt formatCode="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lumMod val="75000"/>
                    <a:lumOff val="25000"/>
                  </a:schemeClr>
                </a:solidFill>
                <a:latin typeface="+mn-lt"/>
                <a:ea typeface="+mn-ea"/>
                <a:cs typeface="+mn-cs"/>
              </a:defRPr>
            </a:pPr>
          </a:p>
        </c:txPr>
        <c:crossAx val="398616064"/>
        <c:crosses val="autoZero"/>
        <c:crossBetween val="between"/>
      </c:valAx>
      <c:spPr>
        <a:noFill/>
        <a:ln>
          <a:noFill/>
        </a:ln>
        <a:effectLst/>
      </c:spPr>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755711335456109"/>
          <c:y val="0.0251858014240174"/>
          <c:w val="0.91606940981907"/>
          <c:h val="0.862654721961763"/>
        </c:manualLayout>
      </c:layout>
      <c:barChart>
        <c:barDir val="col"/>
        <c:grouping val="clustered"/>
        <c:varyColors val="0"/>
        <c:ser>
          <c:idx val="0"/>
          <c:order val="0"/>
          <c:tx>
            <c:strRef>
              <c:f>Sheet1!$B$1</c:f>
              <c:strCache>
                <c:ptCount val="1"/>
                <c:pt idx="0">
                  <c:v/>
                </c:pt>
              </c:strCache>
            </c:strRef>
          </c:tx>
          <c:spPr>
            <a:solidFill>
              <a:schemeClr val="accent5">
                <a:alpha val="80000"/>
              </a:schemeClr>
            </a:solidFill>
            <a:ln>
              <a:noFill/>
            </a:ln>
            <a:effectLst/>
          </c:spPr>
          <c:invertIfNegative val="0"/>
          <c:dPt>
            <c:idx val="0"/>
            <c:invertIfNegative val="0"/>
            <c:bubble3D val="0"/>
            <c:spPr>
              <a:solidFill>
                <a:srgbClr val="358DA5">
                  <a:alpha val="80000"/>
                </a:srgbClr>
              </a:solidFill>
              <a:ln>
                <a:noFill/>
              </a:ln>
              <a:effectLst/>
            </c:spPr>
          </c:dPt>
          <c:dPt>
            <c:idx val="1"/>
            <c:invertIfNegative val="0"/>
            <c:bubble3D val="0"/>
            <c:spPr>
              <a:solidFill>
                <a:srgbClr val="358DA5">
                  <a:alpha val="80000"/>
                </a:srgbClr>
              </a:solidFill>
              <a:ln>
                <a:noFill/>
              </a:ln>
              <a:effectLst/>
            </c:spPr>
          </c:dPt>
          <c:dPt>
            <c:idx val="3"/>
            <c:invertIfNegative val="0"/>
            <c:bubble3D val="0"/>
            <c:spPr>
              <a:solidFill>
                <a:schemeClr val="accent5">
                  <a:lumMod val="60000"/>
                  <a:lumOff val="40000"/>
                  <a:alpha val="80000"/>
                </a:schemeClr>
              </a:solidFill>
              <a:ln>
                <a:noFill/>
              </a:ln>
              <a:effectLst/>
            </c:spPr>
          </c:dPt>
          <c:dPt>
            <c:idx val="4"/>
            <c:invertIfNegative val="0"/>
            <c:bubble3D val="0"/>
            <c:spPr>
              <a:solidFill>
                <a:schemeClr val="accent5">
                  <a:lumMod val="60000"/>
                  <a:lumOff val="40000"/>
                  <a:alpha val="80000"/>
                </a:schemeClr>
              </a:solidFill>
              <a:ln>
                <a:noFill/>
              </a:ln>
              <a:effectLst/>
            </c:spPr>
          </c:dPt>
          <c:dLbls>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0"/>
                <c15:leaderLines/>
              </c:ext>
            </c:extLst>
          </c:dLbls>
          <c:cat>
            <c:strRef>
              <c:f>Sheet1!$A$2:$A$6</c:f>
              <c:strCache>
                <c:ptCount val="5"/>
                <c:pt idx="0">
                  <c:v>很大</c:v>
                </c:pt>
                <c:pt idx="1">
                  <c:v>大</c:v>
                </c:pt>
                <c:pt idx="2">
                  <c:v>不好说</c:v>
                </c:pt>
                <c:pt idx="3">
                  <c:v>小</c:v>
                </c:pt>
                <c:pt idx="4">
                  <c:v>很小</c:v>
                </c:pt>
              </c:strCache>
            </c:strRef>
          </c:cat>
          <c:val>
            <c:numRef>
              <c:f>Sheet1!$B$2:$B$6</c:f>
              <c:numCache>
                <c:formatCode>0.0%</c:formatCode>
                <c:ptCount val="5"/>
                <c:pt idx="0">
                  <c:v>0.2833</c:v>
                </c:pt>
                <c:pt idx="1">
                  <c:v>0.4167</c:v>
                </c:pt>
                <c:pt idx="2">
                  <c:v>0.2667</c:v>
                </c:pt>
                <c:pt idx="3">
                  <c:v>0.0167000000000001</c:v>
                </c:pt>
                <c:pt idx="4">
                  <c:v>0.0167000000000001</c:v>
                </c:pt>
              </c:numCache>
            </c:numRef>
          </c:val>
          <c:extLst>
            <c:ext xmlns:c15="http://schemas.microsoft.com/office/drawing/2012/chart" uri="{02D57815-91ED-43cb-92C2-25804820EDAC}">
              <c15:datalabelsRange>
                <c15:f>Sheet1!$C$2:$C$6</c15:f>
                <c15:dlblRangeCache>
                  <c:ptCount val="5"/>
                </c15:dlblRangeCache>
              </c15:datalabelsRange>
            </c:ext>
          </c:extLst>
        </c:ser>
        <c:dLbls>
          <c:showLegendKey val="0"/>
          <c:showVal val="0"/>
          <c:showCatName val="0"/>
          <c:showSerName val="0"/>
          <c:showPercent val="0"/>
          <c:showBubbleSize val="0"/>
        </c:dLbls>
        <c:gapWidth val="182"/>
        <c:axId val="398469760"/>
        <c:axId val="398471552"/>
      </c:barChart>
      <c:catAx>
        <c:axId val="39846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98471552"/>
        <c:crosses val="autoZero"/>
        <c:auto val="1"/>
        <c:lblAlgn val="ctr"/>
        <c:lblOffset val="100"/>
        <c:noMultiLvlLbl val="0"/>
      </c:catAx>
      <c:valAx>
        <c:axId val="398471552"/>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98469760"/>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ln>
            <a:noFill/>
          </a:ln>
        </a:defRPr>
      </a:pPr>
    </a:p>
  </c:txPr>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755711335456109"/>
          <c:y val="0.0251858014240174"/>
          <c:w val="0.91606940981907"/>
          <c:h val="0.778703995333917"/>
        </c:manualLayout>
      </c:layout>
      <c:barChart>
        <c:barDir val="col"/>
        <c:grouping val="clustered"/>
        <c:varyColors val="0"/>
        <c:ser>
          <c:idx val="0"/>
          <c:order val="0"/>
          <c:tx>
            <c:strRef>
              <c:f>Sheet1!$B$1</c:f>
              <c:strCache>
                <c:ptCount val="1"/>
                <c:pt idx="0">
                  <c:v>2016届</c:v>
                </c:pt>
              </c:strCache>
            </c:strRef>
          </c:tx>
          <c:spPr>
            <a:solidFill>
              <a:schemeClr val="accent5">
                <a:lumMod val="75000"/>
                <a:alpha val="80000"/>
              </a:schemeClr>
            </a:solidFill>
            <a:ln>
              <a:noFill/>
            </a:ln>
            <a:effectLst/>
          </c:spPr>
          <c:invertIfNegative val="0"/>
          <c:dLbls>
            <c:dLbl>
              <c:idx val="2"/>
              <c:layout>
                <c:manualLayout>
                  <c:x val="-0.0111296605453534"/>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667779632721203"/>
                  <c:y val="-9.05339335681432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66777963272120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spAutoFit/>
              </a:bodyPr>
              <a:lstStyle/>
              <a:p>
                <a:pPr>
                  <a:defRPr lang="zh-CN" sz="10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Sheet1!$A$2:$A$6</c:f>
              <c:strCache>
                <c:ptCount val="5"/>
                <c:pt idx="0">
                  <c:v>很大</c:v>
                </c:pt>
                <c:pt idx="1">
                  <c:v>大</c:v>
                </c:pt>
                <c:pt idx="2">
                  <c:v>不好说</c:v>
                </c:pt>
                <c:pt idx="3">
                  <c:v>小</c:v>
                </c:pt>
                <c:pt idx="4">
                  <c:v>很小</c:v>
                </c:pt>
              </c:strCache>
            </c:strRef>
          </c:cat>
          <c:val>
            <c:numRef>
              <c:f>Sheet1!$B$2:$B$6</c:f>
              <c:numCache>
                <c:formatCode>###0.00%</c:formatCode>
                <c:ptCount val="5"/>
                <c:pt idx="0">
                  <c:v>0.357142857142858</c:v>
                </c:pt>
                <c:pt idx="1">
                  <c:v>0.285714285714286</c:v>
                </c:pt>
                <c:pt idx="2">
                  <c:v>0.357142857142858</c:v>
                </c:pt>
                <c:pt idx="3">
                  <c:v>0</c:v>
                </c:pt>
                <c:pt idx="4">
                  <c:v>0</c:v>
                </c:pt>
              </c:numCache>
            </c:numRef>
          </c:val>
        </c:ser>
        <c:ser>
          <c:idx val="1"/>
          <c:order val="1"/>
          <c:tx>
            <c:strRef>
              <c:f>Sheet1!$C$1</c:f>
              <c:strCache>
                <c:ptCount val="1"/>
                <c:pt idx="0">
                  <c:v>2017届</c:v>
                </c:pt>
              </c:strCache>
            </c:strRef>
          </c:tx>
          <c:invertIfNegative val="0"/>
          <c:dLbls>
            <c:dLbl>
              <c:idx val="0"/>
              <c:layout>
                <c:manualLayout>
                  <c:x val="0.00445186421814134"/>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890372843628267"/>
                  <c:y val="0.0098765432098766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66777963272120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11296605453534"/>
                  <c:y val="0.0049382716049382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spAutoFit/>
              </a:bodyPr>
              <a:lstStyle/>
              <a:p>
                <a:pPr>
                  <a:defRPr lang="zh-CN" sz="10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Sheet1!$A$2:$A$6</c:f>
              <c:strCache>
                <c:ptCount val="5"/>
                <c:pt idx="0">
                  <c:v>很大</c:v>
                </c:pt>
                <c:pt idx="1">
                  <c:v>大</c:v>
                </c:pt>
                <c:pt idx="2">
                  <c:v>不好说</c:v>
                </c:pt>
                <c:pt idx="3">
                  <c:v>小</c:v>
                </c:pt>
                <c:pt idx="4">
                  <c:v>很小</c:v>
                </c:pt>
              </c:strCache>
            </c:strRef>
          </c:cat>
          <c:val>
            <c:numRef>
              <c:f>Sheet1!$C$2:$C$6</c:f>
              <c:numCache>
                <c:formatCode>0.00%</c:formatCode>
                <c:ptCount val="5"/>
                <c:pt idx="0">
                  <c:v>0.2833</c:v>
                </c:pt>
                <c:pt idx="1">
                  <c:v>0.4167</c:v>
                </c:pt>
                <c:pt idx="2">
                  <c:v>0.2667</c:v>
                </c:pt>
                <c:pt idx="3">
                  <c:v>0.0167</c:v>
                </c:pt>
                <c:pt idx="4">
                  <c:v>0.0167</c:v>
                </c:pt>
              </c:numCache>
            </c:numRef>
          </c:val>
        </c:ser>
        <c:dLbls>
          <c:showLegendKey val="0"/>
          <c:showVal val="1"/>
          <c:showCatName val="0"/>
          <c:showSerName val="0"/>
          <c:showPercent val="0"/>
          <c:showBubbleSize val="0"/>
        </c:dLbls>
        <c:gapWidth val="158"/>
        <c:overlap val="-11"/>
        <c:axId val="398668544"/>
        <c:axId val="398670080"/>
      </c:barChart>
      <c:catAx>
        <c:axId val="39866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98670080"/>
        <c:crosses val="autoZero"/>
        <c:auto val="1"/>
        <c:lblAlgn val="ctr"/>
        <c:lblOffset val="100"/>
        <c:noMultiLvlLbl val="0"/>
      </c:catAx>
      <c:valAx>
        <c:axId val="398670080"/>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98668544"/>
        <c:crosses val="autoZero"/>
        <c:crossBetween val="between"/>
      </c:valAx>
      <c:spPr>
        <a:noFill/>
        <a:ln>
          <a:noFill/>
        </a:ln>
        <a:effectLst/>
      </c:spPr>
    </c:plotArea>
    <c:legend>
      <c:legendPos val="b"/>
      <c:layout/>
      <c:overlay val="0"/>
      <c:txPr>
        <a:bodyPr rot="0" spcFirstLastPara="0" vertOverflow="ellipsis" vert="horz" wrap="square" anchor="ctr" anchorCtr="1"/>
        <a:lstStyle/>
        <a:p>
          <a:pPr>
            <a:defRPr lang="zh-CN" sz="1000" b="0" i="0" u="none" strike="noStrike" kern="1200" baseline="0">
              <a:ln>
                <a:noFill/>
              </a:ln>
              <a:solidFill>
                <a:schemeClr val="tx1"/>
              </a:solidFill>
              <a:latin typeface="+mn-lt"/>
              <a:ea typeface="+mn-ea"/>
              <a:cs typeface="+mn-cs"/>
            </a:defRPr>
          </a:pPr>
        </a:p>
      </c:txPr>
    </c:legend>
    <c:plotVisOnly val="1"/>
    <c:dispBlanksAs val="gap"/>
    <c:showDLblsOverMax val="0"/>
  </c:chart>
  <c:spPr>
    <a:solidFill>
      <a:schemeClr val="bg1"/>
    </a:solidFill>
    <a:ln w="9525" cap="flat" cmpd="sng" algn="ctr">
      <a:noFill/>
      <a:prstDash val="solid"/>
      <a:round/>
    </a:ln>
    <a:effectLst/>
  </c:spPr>
  <c:txPr>
    <a:bodyPr/>
    <a:lstStyle/>
    <a:p>
      <a:pPr>
        <a:defRPr lang="zh-CN">
          <a:ln>
            <a:noFill/>
          </a:ln>
        </a:defRPr>
      </a:pPr>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755711335456109"/>
          <c:y val="0.0251858014240174"/>
          <c:w val="0.91606940981907"/>
          <c:h val="0.862654721961763"/>
        </c:manualLayout>
      </c:layout>
      <c:barChart>
        <c:barDir val="col"/>
        <c:grouping val="clustered"/>
        <c:varyColors val="0"/>
        <c:ser>
          <c:idx val="0"/>
          <c:order val="0"/>
          <c:tx>
            <c:strRef>
              <c:f>Sheet1!$B$1</c:f>
              <c:strCache>
                <c:ptCount val="1"/>
                <c:pt idx="0">
                  <c:v/>
                </c:pt>
              </c:strCache>
            </c:strRef>
          </c:tx>
          <c:spPr>
            <a:solidFill>
              <a:schemeClr val="accent5">
                <a:alpha val="80000"/>
              </a:schemeClr>
            </a:solidFill>
            <a:ln>
              <a:noFill/>
            </a:ln>
            <a:effectLst/>
          </c:spPr>
          <c:invertIfNegative val="0"/>
          <c:dPt>
            <c:idx val="0"/>
            <c:invertIfNegative val="0"/>
            <c:bubble3D val="0"/>
            <c:spPr>
              <a:solidFill>
                <a:srgbClr val="358DA5">
                  <a:alpha val="80000"/>
                </a:srgbClr>
              </a:solidFill>
              <a:ln>
                <a:noFill/>
              </a:ln>
              <a:effectLst/>
            </c:spPr>
          </c:dPt>
          <c:dPt>
            <c:idx val="1"/>
            <c:invertIfNegative val="0"/>
            <c:bubble3D val="0"/>
            <c:spPr>
              <a:solidFill>
                <a:srgbClr val="358DA5">
                  <a:alpha val="80000"/>
                </a:srgbClr>
              </a:solidFill>
              <a:ln>
                <a:noFill/>
              </a:ln>
              <a:effectLst/>
            </c:spPr>
          </c:dPt>
          <c:dPt>
            <c:idx val="3"/>
            <c:invertIfNegative val="0"/>
            <c:bubble3D val="0"/>
            <c:spPr>
              <a:solidFill>
                <a:schemeClr val="accent5">
                  <a:lumMod val="60000"/>
                  <a:lumOff val="40000"/>
                  <a:alpha val="80000"/>
                </a:schemeClr>
              </a:solidFill>
              <a:ln>
                <a:noFill/>
              </a:ln>
              <a:effectLst/>
            </c:spPr>
          </c:dPt>
          <c:dLbls>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0"/>
                <c15:leaderLines/>
              </c:ext>
            </c:extLst>
          </c:dLbls>
          <c:cat>
            <c:strRef>
              <c:f>Sheet1!$A$2:$A$5</c:f>
              <c:strCache>
                <c:ptCount val="4"/>
                <c:pt idx="0">
                  <c:v>很清晰</c:v>
                </c:pt>
                <c:pt idx="1">
                  <c:v>清晰</c:v>
                </c:pt>
                <c:pt idx="2">
                  <c:v>不好说</c:v>
                </c:pt>
                <c:pt idx="3">
                  <c:v>很不清晰</c:v>
                </c:pt>
              </c:strCache>
            </c:strRef>
          </c:cat>
          <c:val>
            <c:numRef>
              <c:f>Sheet1!$B$2:$B$5</c:f>
              <c:numCache>
                <c:formatCode>0.0%</c:formatCode>
                <c:ptCount val="4"/>
                <c:pt idx="0">
                  <c:v>0.35</c:v>
                </c:pt>
                <c:pt idx="1">
                  <c:v>0.383300000000001</c:v>
                </c:pt>
                <c:pt idx="2">
                  <c:v>0.25</c:v>
                </c:pt>
                <c:pt idx="3">
                  <c:v>0.0167000000000001</c:v>
                </c:pt>
              </c:numCache>
            </c:numRef>
          </c:val>
          <c:extLst>
            <c:ext xmlns:c15="http://schemas.microsoft.com/office/drawing/2012/chart" uri="{02D57815-91ED-43cb-92C2-25804820EDAC}">
              <c15:datalabelsRange>
                <c15:f>Sheet1!$C$2:$C$7</c15:f>
                <c15:dlblRangeCache>
                  <c:ptCount val="6"/>
                </c15:dlblRangeCache>
              </c15:datalabelsRange>
            </c:ext>
          </c:extLst>
        </c:ser>
        <c:dLbls>
          <c:showLegendKey val="0"/>
          <c:showVal val="0"/>
          <c:showCatName val="0"/>
          <c:showSerName val="0"/>
          <c:showPercent val="0"/>
          <c:showBubbleSize val="0"/>
        </c:dLbls>
        <c:gapWidth val="182"/>
        <c:axId val="399012992"/>
        <c:axId val="399014528"/>
      </c:barChart>
      <c:catAx>
        <c:axId val="39901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99014528"/>
        <c:crosses val="autoZero"/>
        <c:auto val="1"/>
        <c:lblAlgn val="ctr"/>
        <c:lblOffset val="100"/>
        <c:noMultiLvlLbl val="0"/>
      </c:catAx>
      <c:valAx>
        <c:axId val="399014528"/>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99012992"/>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ln>
            <a:noFill/>
          </a:ln>
        </a:defRPr>
      </a:pPr>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442231711631657"/>
          <c:y val="0.0293129165705299"/>
          <c:w val="0.91606940981907"/>
          <c:h val="0.857855474257449"/>
        </c:manualLayout>
      </c:layout>
      <c:barChart>
        <c:barDir val="col"/>
        <c:grouping val="clustered"/>
        <c:varyColors val="0"/>
        <c:ser>
          <c:idx val="0"/>
          <c:order val="0"/>
          <c:tx>
            <c:strRef>
              <c:f>Sheet1!$B$1</c:f>
              <c:strCache>
                <c:ptCount val="1"/>
                <c:pt idx="0">
                  <c:v/>
                </c:pt>
              </c:strCache>
            </c:strRef>
          </c:tx>
          <c:spPr>
            <a:solidFill>
              <a:schemeClr val="accent5">
                <a:alpha val="85000"/>
              </a:scheme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1年以内</c:v>
                </c:pt>
                <c:pt idx="1">
                  <c:v>1～3年</c:v>
                </c:pt>
                <c:pt idx="2">
                  <c:v>3～5年</c:v>
                </c:pt>
                <c:pt idx="3">
                  <c:v>5年及以上</c:v>
                </c:pt>
              </c:strCache>
            </c:strRef>
          </c:cat>
          <c:val>
            <c:numRef>
              <c:f>Sheet1!$B$2:$B$5</c:f>
              <c:numCache>
                <c:formatCode>0.0%</c:formatCode>
                <c:ptCount val="4"/>
                <c:pt idx="0">
                  <c:v>0.2333</c:v>
                </c:pt>
                <c:pt idx="1">
                  <c:v>0.4167</c:v>
                </c:pt>
                <c:pt idx="2">
                  <c:v>0.1167</c:v>
                </c:pt>
                <c:pt idx="3">
                  <c:v>0.2333</c:v>
                </c:pt>
              </c:numCache>
            </c:numRef>
          </c:val>
        </c:ser>
        <c:dLbls>
          <c:showLegendKey val="0"/>
          <c:showVal val="1"/>
          <c:showCatName val="0"/>
          <c:showSerName val="0"/>
          <c:showPercent val="0"/>
          <c:showBubbleSize val="0"/>
        </c:dLbls>
        <c:gapWidth val="65"/>
        <c:axId val="398923264"/>
        <c:axId val="398934400"/>
      </c:barChart>
      <c:catAx>
        <c:axId val="3989232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98934400"/>
        <c:crosses val="autoZero"/>
        <c:auto val="1"/>
        <c:lblAlgn val="ctr"/>
        <c:lblOffset val="100"/>
        <c:noMultiLvlLbl val="0"/>
      </c:catAx>
      <c:valAx>
        <c:axId val="3989344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 sourceLinked="0"/>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98923264"/>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755711335456109"/>
          <c:y val="0.0251858014240174"/>
          <c:w val="0.91606940981907"/>
          <c:h val="0.754012637309226"/>
        </c:manualLayout>
      </c:layout>
      <c:barChart>
        <c:barDir val="col"/>
        <c:grouping val="clustered"/>
        <c:varyColors val="0"/>
        <c:ser>
          <c:idx val="0"/>
          <c:order val="0"/>
          <c:tx>
            <c:strRef>
              <c:f>Sheet1!$B$1</c:f>
              <c:strCache>
                <c:ptCount val="1"/>
                <c:pt idx="0">
                  <c:v>2016届</c:v>
                </c:pt>
              </c:strCache>
            </c:strRef>
          </c:tx>
          <c:spPr>
            <a:solidFill>
              <a:schemeClr val="accent5">
                <a:lumMod val="75000"/>
                <a:alpha val="80000"/>
              </a:schemeClr>
            </a:solidFill>
            <a:ln>
              <a:noFill/>
            </a:ln>
            <a:effectLst/>
          </c:spPr>
          <c:invertIfNegative val="0"/>
          <c:dLbls>
            <c:dLbl>
              <c:idx val="2"/>
              <c:layout>
                <c:manualLayout>
                  <c:x val="0.0022259321090706"/>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667779632721203"/>
                  <c:y val="-9.05339335681432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spAutoFit/>
              </a:bodyPr>
              <a:lstStyle/>
              <a:p>
                <a:pPr>
                  <a:defRPr lang="zh-CN" sz="10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Sheet1!$A$2:$A$5</c:f>
              <c:strCache>
                <c:ptCount val="4"/>
                <c:pt idx="0">
                  <c:v>1年以内</c:v>
                </c:pt>
                <c:pt idx="1">
                  <c:v>1～3年</c:v>
                </c:pt>
                <c:pt idx="2">
                  <c:v>3～5年</c:v>
                </c:pt>
                <c:pt idx="3">
                  <c:v>5年及以上</c:v>
                </c:pt>
              </c:strCache>
            </c:strRef>
          </c:cat>
          <c:val>
            <c:numRef>
              <c:f>Sheet1!$B$2:$B$5</c:f>
              <c:numCache>
                <c:formatCode>###0.00%</c:formatCode>
                <c:ptCount val="4"/>
                <c:pt idx="0">
                  <c:v>0.285714285714286</c:v>
                </c:pt>
                <c:pt idx="1">
                  <c:v>0.392857142857143</c:v>
                </c:pt>
                <c:pt idx="2">
                  <c:v>0.107142857142857</c:v>
                </c:pt>
                <c:pt idx="3">
                  <c:v>0.214285714285714</c:v>
                </c:pt>
              </c:numCache>
            </c:numRef>
          </c:val>
        </c:ser>
        <c:ser>
          <c:idx val="1"/>
          <c:order val="1"/>
          <c:tx>
            <c:strRef>
              <c:f>Sheet1!$C$1</c:f>
              <c:strCache>
                <c:ptCount val="1"/>
                <c:pt idx="0">
                  <c:v>2017届</c:v>
                </c:pt>
              </c:strCache>
            </c:strRef>
          </c:tx>
          <c:invertIfNegative val="0"/>
          <c:dLbls>
            <c:dLbl>
              <c:idx val="0"/>
              <c:layout>
                <c:manualLayout>
                  <c:x val="0.00445186421814134"/>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890372843628267"/>
                  <c:y val="0.0098765432098766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5969660193238"/>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spAutoFit/>
              </a:bodyPr>
              <a:lstStyle/>
              <a:p>
                <a:pPr>
                  <a:defRPr lang="zh-CN" sz="10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Sheet1!$A$2:$A$5</c:f>
              <c:strCache>
                <c:ptCount val="4"/>
                <c:pt idx="0">
                  <c:v>1年以内</c:v>
                </c:pt>
                <c:pt idx="1">
                  <c:v>1～3年</c:v>
                </c:pt>
                <c:pt idx="2">
                  <c:v>3～5年</c:v>
                </c:pt>
                <c:pt idx="3">
                  <c:v>5年及以上</c:v>
                </c:pt>
              </c:strCache>
            </c:strRef>
          </c:cat>
          <c:val>
            <c:numRef>
              <c:f>Sheet1!$C$2:$C$5</c:f>
              <c:numCache>
                <c:formatCode>0.00%</c:formatCode>
                <c:ptCount val="4"/>
                <c:pt idx="0">
                  <c:v>0.2333</c:v>
                </c:pt>
                <c:pt idx="1">
                  <c:v>0.4167</c:v>
                </c:pt>
                <c:pt idx="2">
                  <c:v>0.1167</c:v>
                </c:pt>
                <c:pt idx="3">
                  <c:v>0.2333</c:v>
                </c:pt>
              </c:numCache>
            </c:numRef>
          </c:val>
        </c:ser>
        <c:dLbls>
          <c:showLegendKey val="0"/>
          <c:showVal val="1"/>
          <c:showCatName val="0"/>
          <c:showSerName val="0"/>
          <c:showPercent val="0"/>
          <c:showBubbleSize val="0"/>
        </c:dLbls>
        <c:gapWidth val="182"/>
        <c:overlap val="-7"/>
        <c:axId val="399163776"/>
        <c:axId val="399165312"/>
      </c:barChart>
      <c:catAx>
        <c:axId val="39916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99165312"/>
        <c:crosses val="autoZero"/>
        <c:auto val="1"/>
        <c:lblAlgn val="ctr"/>
        <c:lblOffset val="100"/>
        <c:noMultiLvlLbl val="0"/>
      </c:catAx>
      <c:valAx>
        <c:axId val="399165312"/>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99163776"/>
        <c:crosses val="autoZero"/>
        <c:crossBetween val="between"/>
      </c:valAx>
      <c:spPr>
        <a:noFill/>
        <a:ln>
          <a:noFill/>
        </a:ln>
        <a:effectLst/>
      </c:spPr>
    </c:plotArea>
    <c:legend>
      <c:legendPos val="b"/>
      <c:layout/>
      <c:overlay val="0"/>
      <c:txPr>
        <a:bodyPr rot="0" spcFirstLastPara="0" vertOverflow="ellipsis" vert="horz" wrap="square" anchor="ctr" anchorCtr="1"/>
        <a:lstStyle/>
        <a:p>
          <a:pPr>
            <a:defRPr lang="zh-CN" sz="1000" b="0" i="0" u="none" strike="noStrike" kern="1200" baseline="0">
              <a:ln>
                <a:noFill/>
              </a:ln>
              <a:solidFill>
                <a:schemeClr val="tx1"/>
              </a:solidFill>
              <a:latin typeface="+mn-lt"/>
              <a:ea typeface="+mn-ea"/>
              <a:cs typeface="+mn-cs"/>
            </a:defRPr>
          </a:pPr>
        </a:p>
      </c:txPr>
    </c:legend>
    <c:plotVisOnly val="1"/>
    <c:dispBlanksAs val="gap"/>
    <c:showDLblsOverMax val="0"/>
  </c:chart>
  <c:spPr>
    <a:solidFill>
      <a:schemeClr val="bg1"/>
    </a:solidFill>
    <a:ln w="9525" cap="flat" cmpd="sng" algn="ctr">
      <a:noFill/>
      <a:prstDash val="solid"/>
      <a:round/>
    </a:ln>
    <a:effectLst/>
  </c:spPr>
  <c:txPr>
    <a:bodyPr/>
    <a:lstStyle/>
    <a:p>
      <a:pPr>
        <a:defRPr lang="zh-CN">
          <a:ln>
            <a:noFill/>
          </a:ln>
        </a:defRPr>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10734463276838"/>
          <c:y val="0.0547263681592041"/>
          <c:w val="0.953528328824055"/>
          <c:h val="0.608090748313116"/>
        </c:manualLayout>
      </c:layout>
      <c:lineChart>
        <c:grouping val="standard"/>
        <c:varyColors val="0"/>
        <c:ser>
          <c:idx val="0"/>
          <c:order val="0"/>
          <c:tx>
            <c:strRef>
              <c:f>Sheet1!$B$1</c:f>
              <c:strCache>
                <c:ptCount val="1"/>
                <c:pt idx="0">
                  <c:v/>
                </c:pt>
              </c:strCache>
            </c:strRef>
          </c:tx>
          <c:spPr>
            <a:ln w="31750" cap="rnd" cmpd="sng" algn="ctr">
              <a:solidFill>
                <a:schemeClr val="accent5"/>
              </a:solidFill>
              <a:prstDash val="solid"/>
              <a:round/>
            </a:ln>
            <a:effectLst/>
          </c:spPr>
          <c:marker>
            <c:symbol val="circle"/>
            <c:size val="17"/>
            <c:spPr>
              <a:solidFill>
                <a:schemeClr val="accent5"/>
              </a:solidFill>
              <a:ln w="9525" cap="flat" cmpd="sng" algn="ctr">
                <a:noFill/>
                <a:prstDash val="solid"/>
                <a:round/>
              </a:ln>
              <a:effectLst/>
            </c:spPr>
          </c:marker>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Sheet1!$A$2:$A$13</c:f>
              <c:strCache>
                <c:ptCount val="12"/>
                <c:pt idx="0">
                  <c:v>表演</c:v>
                </c:pt>
                <c:pt idx="1">
                  <c:v>表演（戏剧影视表演）</c:v>
                </c:pt>
                <c:pt idx="2">
                  <c:v>表演（音乐剧）</c:v>
                </c:pt>
                <c:pt idx="3">
                  <c:v>导演（演出制作）</c:v>
                </c:pt>
                <c:pt idx="4">
                  <c:v>导演（影视编导）</c:v>
                </c:pt>
                <c:pt idx="5">
                  <c:v>戏剧学(戏剧史论与批评)</c:v>
                </c:pt>
                <c:pt idx="6">
                  <c:v>戏剧影视导演</c:v>
                </c:pt>
                <c:pt idx="7">
                  <c:v>戏剧影视美术设计(舞台灯光)</c:v>
                </c:pt>
                <c:pt idx="8">
                  <c:v>戏剧影视美术设计(舞台服装)</c:v>
                </c:pt>
                <c:pt idx="9">
                  <c:v>戏剧影视美术设计(舞台化装)</c:v>
                </c:pt>
                <c:pt idx="10">
                  <c:v>戏剧影视美术设计(舞台技术)</c:v>
                </c:pt>
                <c:pt idx="11">
                  <c:v>戏剧影视文学(电视剧创作)</c:v>
                </c:pt>
              </c:strCache>
            </c:strRef>
          </c:cat>
          <c:val>
            <c:numRef>
              <c:f>Sheet1!$B$2:$B$13</c:f>
              <c:numCache>
                <c:formatCode>0.0_);[Red]\(0.0\)</c:formatCode>
                <c:ptCount val="12"/>
                <c:pt idx="0">
                  <c:v>4.21</c:v>
                </c:pt>
                <c:pt idx="1">
                  <c:v>4.82</c:v>
                </c:pt>
                <c:pt idx="2">
                  <c:v>4.28</c:v>
                </c:pt>
                <c:pt idx="3">
                  <c:v>3</c:v>
                </c:pt>
                <c:pt idx="4">
                  <c:v>4</c:v>
                </c:pt>
                <c:pt idx="5">
                  <c:v>4.22</c:v>
                </c:pt>
                <c:pt idx="6">
                  <c:v>4.1</c:v>
                </c:pt>
                <c:pt idx="7">
                  <c:v>4.08</c:v>
                </c:pt>
                <c:pt idx="8">
                  <c:v>4.06</c:v>
                </c:pt>
                <c:pt idx="9">
                  <c:v>4.12</c:v>
                </c:pt>
                <c:pt idx="10">
                  <c:v>3.75</c:v>
                </c:pt>
                <c:pt idx="11">
                  <c:v>4.55</c:v>
                </c:pt>
              </c:numCache>
            </c:numRef>
          </c:val>
          <c:smooth val="0"/>
        </c:ser>
        <c:dLbls>
          <c:showLegendKey val="0"/>
          <c:showVal val="1"/>
          <c:showCatName val="0"/>
          <c:showSerName val="0"/>
          <c:showPercent val="0"/>
          <c:showBubbleSize val="0"/>
        </c:dLbls>
        <c:marker val="1"/>
        <c:smooth val="0"/>
        <c:axId val="339878656"/>
        <c:axId val="339879424"/>
      </c:lineChart>
      <c:catAx>
        <c:axId val="3398786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39879424"/>
        <c:crosses val="autoZero"/>
        <c:auto val="1"/>
        <c:lblAlgn val="ctr"/>
        <c:lblOffset val="100"/>
        <c:tickLblSkip val="1"/>
        <c:noMultiLvlLbl val="0"/>
      </c:catAx>
      <c:valAx>
        <c:axId val="3398794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_);[Red]\(0.0\)"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39878656"/>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755711335456109"/>
          <c:y val="0.0251858014240174"/>
          <c:w val="0.91606940981907"/>
          <c:h val="0.862654721961763"/>
        </c:manualLayout>
      </c:layout>
      <c:barChart>
        <c:barDir val="col"/>
        <c:grouping val="clustered"/>
        <c:varyColors val="0"/>
        <c:ser>
          <c:idx val="0"/>
          <c:order val="0"/>
          <c:tx>
            <c:strRef>
              <c:f>Sheet1!$B$1</c:f>
              <c:strCache>
                <c:ptCount val="1"/>
                <c:pt idx="0">
                  <c:v/>
                </c:pt>
              </c:strCache>
            </c:strRef>
          </c:tx>
          <c:spPr>
            <a:solidFill>
              <a:schemeClr val="accent5">
                <a:alpha val="80000"/>
              </a:schemeClr>
            </a:solidFill>
            <a:ln>
              <a:noFill/>
            </a:ln>
            <a:effectLst/>
          </c:spPr>
          <c:invertIfNegative val="0"/>
          <c:dPt>
            <c:idx val="0"/>
            <c:invertIfNegative val="0"/>
            <c:bubble3D val="0"/>
            <c:spPr>
              <a:solidFill>
                <a:srgbClr val="358DA5">
                  <a:alpha val="80000"/>
                </a:srgbClr>
              </a:solidFill>
              <a:ln>
                <a:noFill/>
              </a:ln>
              <a:effectLst/>
            </c:spPr>
          </c:dPt>
          <c:dPt>
            <c:idx val="1"/>
            <c:invertIfNegative val="0"/>
            <c:bubble3D val="0"/>
            <c:spPr>
              <a:solidFill>
                <a:srgbClr val="358DA5">
                  <a:alpha val="80000"/>
                </a:srgbClr>
              </a:solidFill>
              <a:ln>
                <a:noFill/>
              </a:ln>
              <a:effectLst/>
            </c:spPr>
          </c:dPt>
          <c:dPt>
            <c:idx val="3"/>
            <c:invertIfNegative val="0"/>
            <c:bubble3D val="0"/>
            <c:spPr>
              <a:solidFill>
                <a:schemeClr val="accent5">
                  <a:lumMod val="60000"/>
                  <a:lumOff val="40000"/>
                  <a:alpha val="80000"/>
                </a:schemeClr>
              </a:solidFill>
              <a:ln>
                <a:noFill/>
              </a:ln>
              <a:effectLst/>
            </c:spPr>
          </c:dPt>
          <c:dLbls>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0"/>
                <c15:leaderLines/>
              </c:ext>
            </c:extLst>
          </c:dLbls>
          <c:cat>
            <c:strRef>
              <c:f>Sheet1!$A$2:$A$5</c:f>
              <c:strCache>
                <c:ptCount val="4"/>
                <c:pt idx="0">
                  <c:v>很相关</c:v>
                </c:pt>
                <c:pt idx="1">
                  <c:v>相关</c:v>
                </c:pt>
                <c:pt idx="2">
                  <c:v>不好说</c:v>
                </c:pt>
                <c:pt idx="3">
                  <c:v>不相关</c:v>
                </c:pt>
              </c:strCache>
            </c:strRef>
          </c:cat>
          <c:val>
            <c:numRef>
              <c:f>Sheet1!$B$2:$B$5</c:f>
              <c:numCache>
                <c:formatCode>0.00%</c:formatCode>
                <c:ptCount val="4"/>
                <c:pt idx="0">
                  <c:v>0.55</c:v>
                </c:pt>
                <c:pt idx="1">
                  <c:v>0.333300000000002</c:v>
                </c:pt>
                <c:pt idx="2">
                  <c:v>0.0833</c:v>
                </c:pt>
                <c:pt idx="3">
                  <c:v>0.0333</c:v>
                </c:pt>
              </c:numCache>
            </c:numRef>
          </c:val>
          <c:extLst>
            <c:ext xmlns:c15="http://schemas.microsoft.com/office/drawing/2012/chart" uri="{02D57815-91ED-43cb-92C2-25804820EDAC}">
              <c15:datalabelsRange>
                <c15:f>Sheet1!$C$2:$C$6</c15:f>
                <c15:dlblRangeCache>
                  <c:ptCount val="5"/>
                </c15:dlblRangeCache>
              </c15:datalabelsRange>
            </c:ext>
          </c:extLst>
        </c:ser>
        <c:dLbls>
          <c:showLegendKey val="0"/>
          <c:showVal val="0"/>
          <c:showCatName val="0"/>
          <c:showSerName val="0"/>
          <c:showPercent val="0"/>
          <c:showBubbleSize val="0"/>
        </c:dLbls>
        <c:gapWidth val="182"/>
        <c:axId val="398852864"/>
        <c:axId val="398854400"/>
      </c:barChart>
      <c:catAx>
        <c:axId val="39885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98854400"/>
        <c:crosses val="autoZero"/>
        <c:auto val="1"/>
        <c:lblAlgn val="ctr"/>
        <c:lblOffset val="100"/>
        <c:noMultiLvlLbl val="0"/>
      </c:catAx>
      <c:valAx>
        <c:axId val="398854400"/>
        <c:scaling>
          <c:orientation val="minMax"/>
          <c:max val="0.700000000000001"/>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98852864"/>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ln>
            <a:noFill/>
          </a:ln>
        </a:defRPr>
      </a:pPr>
    </a:p>
  </c:tx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10734463276838"/>
          <c:y val="0.0547263681592041"/>
          <c:w val="0.953528328824055"/>
          <c:h val="0.710244900450492"/>
        </c:manualLayout>
      </c:layout>
      <c:lineChart>
        <c:grouping val="standard"/>
        <c:varyColors val="0"/>
        <c:ser>
          <c:idx val="0"/>
          <c:order val="0"/>
          <c:tx>
            <c:strRef>
              <c:f>Sheet1!$B$1</c:f>
              <c:strCache>
                <c:ptCount val="1"/>
                <c:pt idx="0">
                  <c:v/>
                </c:pt>
              </c:strCache>
            </c:strRef>
          </c:tx>
          <c:spPr>
            <a:ln w="31750" cap="rnd" cmpd="sng" algn="ctr">
              <a:solidFill>
                <a:schemeClr val="accent5"/>
              </a:solidFill>
              <a:prstDash val="solid"/>
              <a:round/>
            </a:ln>
            <a:effectLst/>
          </c:spPr>
          <c:marker>
            <c:symbol val="circle"/>
            <c:size val="17"/>
            <c:spPr>
              <a:solidFill>
                <a:schemeClr val="accent5"/>
              </a:solidFill>
              <a:ln w="9525" cap="flat" cmpd="sng" algn="ctr">
                <a:noFill/>
                <a:prstDash val="solid"/>
                <a:round/>
              </a:ln>
              <a:effectLst/>
            </c:spPr>
          </c:marker>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Sheet1!$A$2:$A$4</c:f>
              <c:strCache>
                <c:ptCount val="3"/>
                <c:pt idx="0">
                  <c:v>戏剧</c:v>
                </c:pt>
                <c:pt idx="1">
                  <c:v>戏剧与影视学</c:v>
                </c:pt>
                <c:pt idx="2">
                  <c:v>艺术学理论</c:v>
                </c:pt>
              </c:strCache>
            </c:strRef>
          </c:cat>
          <c:val>
            <c:numRef>
              <c:f>Sheet1!$B$2:$B$4</c:f>
              <c:numCache>
                <c:formatCode>0.0_);[Red]\(0.0\)</c:formatCode>
                <c:ptCount val="3"/>
                <c:pt idx="0">
                  <c:v>4.33</c:v>
                </c:pt>
                <c:pt idx="1">
                  <c:v>4.44</c:v>
                </c:pt>
                <c:pt idx="2">
                  <c:v>4.17</c:v>
                </c:pt>
              </c:numCache>
            </c:numRef>
          </c:val>
          <c:smooth val="0"/>
        </c:ser>
        <c:dLbls>
          <c:showLegendKey val="0"/>
          <c:showVal val="1"/>
          <c:showCatName val="0"/>
          <c:showSerName val="0"/>
          <c:showPercent val="0"/>
          <c:showBubbleSize val="0"/>
        </c:dLbls>
        <c:marker val="1"/>
        <c:smooth val="0"/>
        <c:axId val="398955648"/>
        <c:axId val="399052800"/>
      </c:lineChart>
      <c:catAx>
        <c:axId val="3989556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99052800"/>
        <c:crosses val="autoZero"/>
        <c:auto val="1"/>
        <c:lblAlgn val="ctr"/>
        <c:lblOffset val="100"/>
        <c:tickLblSkip val="1"/>
        <c:noMultiLvlLbl val="0"/>
      </c:catAx>
      <c:valAx>
        <c:axId val="3990528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_);[Red]\(0.0\)"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98955648"/>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10734463276838"/>
          <c:y val="0.0547263681592041"/>
          <c:w val="0.953528328824055"/>
          <c:h val="0.722809392879314"/>
        </c:manualLayout>
      </c:layout>
      <c:lineChart>
        <c:grouping val="standard"/>
        <c:varyColors val="0"/>
        <c:ser>
          <c:idx val="0"/>
          <c:order val="0"/>
          <c:tx>
            <c:strRef>
              <c:f>Sheet1!$B$1</c:f>
              <c:strCache>
                <c:ptCount val="1"/>
                <c:pt idx="0">
                  <c:v/>
                </c:pt>
              </c:strCache>
            </c:strRef>
          </c:tx>
          <c:spPr>
            <a:ln w="31750" cap="rnd" cmpd="sng" algn="ctr">
              <a:solidFill>
                <a:schemeClr val="accent5"/>
              </a:solidFill>
              <a:prstDash val="solid"/>
              <a:round/>
            </a:ln>
            <a:effectLst/>
          </c:spPr>
          <c:marker>
            <c:symbol val="circle"/>
            <c:size val="17"/>
            <c:spPr>
              <a:solidFill>
                <a:schemeClr val="accent5"/>
              </a:solidFill>
              <a:ln w="9525" cap="flat" cmpd="sng" algn="ctr">
                <a:noFill/>
                <a:prstDash val="solid"/>
                <a:round/>
              </a:ln>
              <a:effectLst/>
            </c:spPr>
          </c:marker>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Sheet1!$A$2:$A$3</c:f>
              <c:strCache>
                <c:ptCount val="2"/>
                <c:pt idx="0">
                  <c:v>戏剧与影视学</c:v>
                </c:pt>
                <c:pt idx="1">
                  <c:v>艺术学理论</c:v>
                </c:pt>
              </c:strCache>
            </c:strRef>
          </c:cat>
          <c:val>
            <c:numRef>
              <c:f>Sheet1!$B$2:$B$3</c:f>
              <c:numCache>
                <c:formatCode>0.0_);[Red]\(0.0\)</c:formatCode>
                <c:ptCount val="2"/>
                <c:pt idx="0">
                  <c:v>4.5</c:v>
                </c:pt>
                <c:pt idx="1">
                  <c:v>4.5</c:v>
                </c:pt>
              </c:numCache>
            </c:numRef>
          </c:val>
          <c:smooth val="0"/>
        </c:ser>
        <c:dLbls>
          <c:showLegendKey val="0"/>
          <c:showVal val="1"/>
          <c:showCatName val="0"/>
          <c:showSerName val="0"/>
          <c:showPercent val="0"/>
          <c:showBubbleSize val="0"/>
        </c:dLbls>
        <c:marker val="1"/>
        <c:smooth val="0"/>
        <c:axId val="398760576"/>
        <c:axId val="399185408"/>
      </c:lineChart>
      <c:catAx>
        <c:axId val="3987605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99185408"/>
        <c:crosses val="autoZero"/>
        <c:auto val="1"/>
        <c:lblAlgn val="ctr"/>
        <c:lblOffset val="100"/>
        <c:tickLblSkip val="1"/>
        <c:noMultiLvlLbl val="0"/>
      </c:catAx>
      <c:valAx>
        <c:axId val="3991854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_);[Red]\(0.0\)"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98760576"/>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755711335456109"/>
          <c:y val="0.0251858014240174"/>
          <c:w val="0.91606940981907"/>
          <c:h val="0.783642266938855"/>
        </c:manualLayout>
      </c:layout>
      <c:barChart>
        <c:barDir val="col"/>
        <c:grouping val="clustered"/>
        <c:varyColors val="0"/>
        <c:ser>
          <c:idx val="0"/>
          <c:order val="0"/>
          <c:tx>
            <c:strRef>
              <c:f>Sheet1!$B$1</c:f>
              <c:strCache>
                <c:ptCount val="1"/>
                <c:pt idx="0">
                  <c:v>2016届</c:v>
                </c:pt>
              </c:strCache>
            </c:strRef>
          </c:tx>
          <c:spPr>
            <a:solidFill>
              <a:schemeClr val="accent5">
                <a:alpha val="80000"/>
              </a:schemeClr>
            </a:solidFill>
            <a:ln>
              <a:noFill/>
            </a:ln>
            <a:effectLst/>
          </c:spPr>
          <c:invertIfNegative val="0"/>
          <c:dPt>
            <c:idx val="0"/>
            <c:invertIfNegative val="0"/>
            <c:bubble3D val="0"/>
            <c:spPr>
              <a:solidFill>
                <a:srgbClr val="358DA5">
                  <a:alpha val="80000"/>
                </a:srgbClr>
              </a:solidFill>
              <a:ln>
                <a:noFill/>
              </a:ln>
              <a:effectLst/>
            </c:spPr>
          </c:dPt>
          <c:dPt>
            <c:idx val="1"/>
            <c:invertIfNegative val="0"/>
            <c:bubble3D val="0"/>
            <c:spPr>
              <a:solidFill>
                <a:srgbClr val="358DA5">
                  <a:alpha val="80000"/>
                </a:srgbClr>
              </a:solidFill>
              <a:ln>
                <a:noFill/>
              </a:ln>
              <a:effectLst/>
            </c:spPr>
          </c:dPt>
          <c:dPt>
            <c:idx val="3"/>
            <c:invertIfNegative val="0"/>
            <c:bubble3D val="0"/>
            <c:spPr>
              <a:solidFill>
                <a:schemeClr val="accent5">
                  <a:lumMod val="60000"/>
                  <a:lumOff val="40000"/>
                  <a:alpha val="80000"/>
                </a:schemeClr>
              </a:solidFill>
              <a:ln>
                <a:noFill/>
              </a:ln>
              <a:effectLst/>
            </c:spPr>
          </c:dPt>
          <c:dLbls>
            <c:dLbl>
              <c:idx val="0"/>
              <c:layout>
                <c:manualLayout>
                  <c:x val="-0.0155815247634948"/>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00333889816361"/>
                  <c:y val="-4.52669667840715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44852531997775"/>
                  <c:y val="-4.52669667840715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667779632721203"/>
                  <c:y val="-9.05339335681432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spAutoFit/>
              </a:bodyPr>
              <a:lstStyle/>
              <a:p>
                <a:pPr>
                  <a:defRPr lang="zh-CN" sz="10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Sheet1!$A$2:$A$5</c:f>
              <c:strCache>
                <c:ptCount val="4"/>
                <c:pt idx="0">
                  <c:v>很相关</c:v>
                </c:pt>
                <c:pt idx="1">
                  <c:v>相关</c:v>
                </c:pt>
                <c:pt idx="2">
                  <c:v>不好说</c:v>
                </c:pt>
                <c:pt idx="3">
                  <c:v>不相关</c:v>
                </c:pt>
              </c:strCache>
            </c:strRef>
          </c:cat>
          <c:val>
            <c:numRef>
              <c:f>Sheet1!$B$2:$B$5</c:f>
              <c:numCache>
                <c:formatCode>###0.00%</c:formatCode>
                <c:ptCount val="4"/>
                <c:pt idx="0">
                  <c:v>0.571428571428573</c:v>
                </c:pt>
                <c:pt idx="1">
                  <c:v>0.357142857142858</c:v>
                </c:pt>
                <c:pt idx="2">
                  <c:v>0.0714285714285714</c:v>
                </c:pt>
                <c:pt idx="3">
                  <c:v>0</c:v>
                </c:pt>
              </c:numCache>
            </c:numRef>
          </c:val>
        </c:ser>
        <c:ser>
          <c:idx val="1"/>
          <c:order val="1"/>
          <c:tx>
            <c:strRef>
              <c:f>Sheet1!$C$1</c:f>
              <c:strCache>
                <c:ptCount val="1"/>
                <c:pt idx="0">
                  <c:v>2017届</c:v>
                </c:pt>
              </c:strCache>
            </c:strRef>
          </c:tx>
          <c:invertIfNegative val="0"/>
          <c:dLbls>
            <c:dLbl>
              <c:idx val="0"/>
              <c:layout>
                <c:manualLayout>
                  <c:x val="0.0155815247634947"/>
                  <c:y val="-4.52669667840715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890372843628267"/>
                  <c:y val="0.0098765432098766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66777963272120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11296605453534"/>
                  <c:y val="-9.05339335681432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spAutoFit/>
              </a:bodyPr>
              <a:lstStyle/>
              <a:p>
                <a:pPr>
                  <a:defRPr lang="zh-CN" sz="10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Sheet1!$A$2:$A$5</c:f>
              <c:strCache>
                <c:ptCount val="4"/>
                <c:pt idx="0">
                  <c:v>很相关</c:v>
                </c:pt>
                <c:pt idx="1">
                  <c:v>相关</c:v>
                </c:pt>
                <c:pt idx="2">
                  <c:v>不好说</c:v>
                </c:pt>
                <c:pt idx="3">
                  <c:v>不相关</c:v>
                </c:pt>
              </c:strCache>
            </c:strRef>
          </c:cat>
          <c:val>
            <c:numRef>
              <c:f>Sheet1!$C$2:$C$5</c:f>
              <c:numCache>
                <c:formatCode>0.00%</c:formatCode>
                <c:ptCount val="4"/>
                <c:pt idx="0">
                  <c:v>0.55</c:v>
                </c:pt>
                <c:pt idx="1">
                  <c:v>0.333300000000001</c:v>
                </c:pt>
                <c:pt idx="2">
                  <c:v>0.0833</c:v>
                </c:pt>
                <c:pt idx="3">
                  <c:v>0.0333</c:v>
                </c:pt>
              </c:numCache>
            </c:numRef>
          </c:val>
        </c:ser>
        <c:dLbls>
          <c:showLegendKey val="0"/>
          <c:showVal val="1"/>
          <c:showCatName val="0"/>
          <c:showSerName val="0"/>
          <c:showPercent val="0"/>
          <c:showBubbleSize val="0"/>
        </c:dLbls>
        <c:gapWidth val="158"/>
        <c:overlap val="-7"/>
        <c:axId val="399226368"/>
        <c:axId val="399227904"/>
      </c:barChart>
      <c:catAx>
        <c:axId val="39922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99227904"/>
        <c:crosses val="autoZero"/>
        <c:auto val="1"/>
        <c:lblAlgn val="ctr"/>
        <c:lblOffset val="100"/>
        <c:noMultiLvlLbl val="0"/>
      </c:catAx>
      <c:valAx>
        <c:axId val="399227904"/>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99226368"/>
        <c:crosses val="autoZero"/>
        <c:crossBetween val="between"/>
      </c:valAx>
      <c:spPr>
        <a:noFill/>
        <a:ln>
          <a:noFill/>
        </a:ln>
        <a:effectLst/>
      </c:spPr>
    </c:plotArea>
    <c:legend>
      <c:legendPos val="b"/>
      <c:layout/>
      <c:overlay val="0"/>
      <c:txPr>
        <a:bodyPr rot="0" spcFirstLastPara="0" vertOverflow="ellipsis" vert="horz" wrap="square" anchor="ctr" anchorCtr="1"/>
        <a:lstStyle/>
        <a:p>
          <a:pPr>
            <a:defRPr lang="zh-CN" sz="1000" b="0" i="0" u="none" strike="noStrike" kern="1200" baseline="0">
              <a:ln>
                <a:noFill/>
              </a:ln>
              <a:solidFill>
                <a:schemeClr val="tx1"/>
              </a:solidFill>
              <a:latin typeface="+mn-lt"/>
              <a:ea typeface="+mn-ea"/>
              <a:cs typeface="+mn-cs"/>
            </a:defRPr>
          </a:pPr>
        </a:p>
      </c:txPr>
    </c:legend>
    <c:plotVisOnly val="1"/>
    <c:dispBlanksAs val="gap"/>
    <c:showDLblsOverMax val="0"/>
  </c:chart>
  <c:spPr>
    <a:solidFill>
      <a:schemeClr val="bg1"/>
    </a:solidFill>
    <a:ln w="9525" cap="flat" cmpd="sng" algn="ctr">
      <a:noFill/>
      <a:prstDash val="solid"/>
      <a:round/>
    </a:ln>
    <a:effectLst/>
  </c:spPr>
  <c:txPr>
    <a:bodyPr/>
    <a:lstStyle/>
    <a:p>
      <a:pPr>
        <a:defRPr lang="zh-CN">
          <a:ln>
            <a:noFill/>
          </a:ln>
        </a:defRPr>
      </a:pPr>
    </a:p>
  </c:txPr>
  <c:externalData r:id="rId1">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1500255176438"/>
          <c:y val="0.128859247432781"/>
          <c:w val="0.468388560804904"/>
          <c:h val="0.745968141079139"/>
        </c:manualLayout>
      </c:layout>
      <c:doughnutChart>
        <c:varyColors val="1"/>
        <c:ser>
          <c:idx val="0"/>
          <c:order val="0"/>
          <c:tx>
            <c:strRef>
              <c:f>Sheet1!$B$1</c:f>
              <c:strCache>
                <c:ptCount val="1"/>
                <c:pt idx="0">
                  <c:v/>
                </c:pt>
              </c:strCache>
            </c:strRef>
          </c:tx>
          <c:explosion val="0"/>
          <c:dPt>
            <c:idx val="0"/>
            <c:bubble3D val="0"/>
            <c:explosion val="6"/>
            <c:spPr>
              <a:solidFill>
                <a:schemeClr val="accent1"/>
              </a:solidFill>
              <a:ln>
                <a:noFill/>
              </a:ln>
              <a:effectLst/>
            </c:spPr>
          </c:dPt>
          <c:dPt>
            <c:idx val="1"/>
            <c:bubble3D val="0"/>
            <c:spPr>
              <a:solidFill>
                <a:schemeClr val="accent3"/>
              </a:solidFill>
              <a:ln>
                <a:noFill/>
              </a:ln>
              <a:effectLst/>
            </c:spPr>
          </c:dPt>
          <c:dPt>
            <c:idx val="2"/>
            <c:bubble3D val="0"/>
            <c:spPr>
              <a:solidFill>
                <a:schemeClr val="accent5"/>
              </a:solidFill>
              <a:ln>
                <a:noFill/>
              </a:ln>
              <a:effectLst/>
            </c:spPr>
          </c:dPt>
          <c:dLbls>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ext>
            </c:extLst>
          </c:dLbls>
          <c:cat>
            <c:strRef>
              <c:f>Sheet1!$A$2:$A$4</c:f>
              <c:strCache>
                <c:ptCount val="3"/>
                <c:pt idx="0">
                  <c:v>低于岗位要求</c:v>
                </c:pt>
                <c:pt idx="1">
                  <c:v>恰好满足岗位要求</c:v>
                </c:pt>
                <c:pt idx="2">
                  <c:v>高于岗位要求</c:v>
                </c:pt>
              </c:strCache>
            </c:strRef>
          </c:cat>
          <c:val>
            <c:numRef>
              <c:f>Sheet1!$B$2:$B$4</c:f>
              <c:numCache>
                <c:formatCode>###0"人"</c:formatCode>
                <c:ptCount val="3"/>
                <c:pt idx="0">
                  <c:v>3</c:v>
                </c:pt>
                <c:pt idx="1">
                  <c:v>35</c:v>
                </c:pt>
                <c:pt idx="2">
                  <c:v>22</c:v>
                </c:pt>
              </c:numCache>
            </c:numRef>
          </c:val>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755711335456109"/>
          <c:y val="0.0251858014240174"/>
          <c:w val="0.91606940981907"/>
          <c:h val="0.862654721961763"/>
        </c:manualLayout>
      </c:layout>
      <c:barChart>
        <c:barDir val="col"/>
        <c:grouping val="clustered"/>
        <c:varyColors val="0"/>
        <c:ser>
          <c:idx val="0"/>
          <c:order val="0"/>
          <c:tx>
            <c:strRef>
              <c:f>Sheet1!$B$1</c:f>
              <c:strCache>
                <c:ptCount val="1"/>
                <c:pt idx="0">
                  <c:v/>
                </c:pt>
              </c:strCache>
            </c:strRef>
          </c:tx>
          <c:spPr>
            <a:solidFill>
              <a:schemeClr val="accent5">
                <a:alpha val="80000"/>
              </a:schemeClr>
            </a:solidFill>
            <a:ln>
              <a:noFill/>
            </a:ln>
            <a:effectLst/>
          </c:spPr>
          <c:invertIfNegative val="0"/>
          <c:dPt>
            <c:idx val="0"/>
            <c:invertIfNegative val="0"/>
            <c:bubble3D val="0"/>
            <c:spPr>
              <a:solidFill>
                <a:srgbClr val="358DA5">
                  <a:alpha val="80000"/>
                </a:srgbClr>
              </a:solidFill>
              <a:ln>
                <a:noFill/>
              </a:ln>
              <a:effectLst/>
            </c:spPr>
          </c:dPt>
          <c:dPt>
            <c:idx val="1"/>
            <c:invertIfNegative val="0"/>
            <c:bubble3D val="0"/>
            <c:spPr>
              <a:solidFill>
                <a:srgbClr val="358DA5">
                  <a:alpha val="80000"/>
                </a:srgbClr>
              </a:solidFill>
              <a:ln>
                <a:noFill/>
              </a:ln>
              <a:effectLst/>
            </c:spPr>
          </c:dPt>
          <c:dPt>
            <c:idx val="3"/>
            <c:invertIfNegative val="0"/>
            <c:bubble3D val="0"/>
            <c:spPr>
              <a:solidFill>
                <a:schemeClr val="accent5">
                  <a:lumMod val="60000"/>
                  <a:lumOff val="40000"/>
                  <a:alpha val="80000"/>
                </a:schemeClr>
              </a:solidFill>
              <a:ln>
                <a:noFill/>
              </a:ln>
              <a:effectLst/>
            </c:spPr>
          </c:dPt>
          <c:dLbls>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0"/>
                <c15:leaderLines/>
              </c:ext>
            </c:extLst>
          </c:dLbls>
          <c:cat>
            <c:strRef>
              <c:f>Sheet1!$A$2:$A$5</c:f>
              <c:strCache>
                <c:ptCount val="4"/>
                <c:pt idx="0">
                  <c:v>很相符</c:v>
                </c:pt>
                <c:pt idx="1">
                  <c:v>相符</c:v>
                </c:pt>
                <c:pt idx="2">
                  <c:v>不好说</c:v>
                </c:pt>
                <c:pt idx="3">
                  <c:v>不相符</c:v>
                </c:pt>
              </c:strCache>
            </c:strRef>
          </c:cat>
          <c:val>
            <c:numRef>
              <c:f>Sheet1!$B$2:$B$5</c:f>
              <c:numCache>
                <c:formatCode>0.0%</c:formatCode>
                <c:ptCount val="4"/>
                <c:pt idx="0">
                  <c:v>0.35</c:v>
                </c:pt>
                <c:pt idx="1">
                  <c:v>0.45</c:v>
                </c:pt>
                <c:pt idx="2">
                  <c:v>0.1667</c:v>
                </c:pt>
                <c:pt idx="3">
                  <c:v>0.0333</c:v>
                </c:pt>
              </c:numCache>
            </c:numRef>
          </c:val>
          <c:extLst>
            <c:ext xmlns:c15="http://schemas.microsoft.com/office/drawing/2012/chart" uri="{02D57815-91ED-43cb-92C2-25804820EDAC}">
              <c15:datalabelsRange>
                <c15:f>Sheet1!$C$2:$C$7</c15:f>
                <c15:dlblRangeCache>
                  <c:ptCount val="6"/>
                </c15:dlblRangeCache>
              </c15:datalabelsRange>
            </c:ext>
          </c:extLst>
        </c:ser>
        <c:dLbls>
          <c:showLegendKey val="0"/>
          <c:showVal val="0"/>
          <c:showCatName val="0"/>
          <c:showSerName val="0"/>
          <c:showPercent val="0"/>
          <c:showBubbleSize val="0"/>
        </c:dLbls>
        <c:gapWidth val="182"/>
        <c:axId val="418225152"/>
        <c:axId val="418226944"/>
      </c:barChart>
      <c:catAx>
        <c:axId val="41822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418226944"/>
        <c:crosses val="autoZero"/>
        <c:auto val="1"/>
        <c:lblAlgn val="ctr"/>
        <c:lblOffset val="100"/>
        <c:noMultiLvlLbl val="0"/>
      </c:catAx>
      <c:valAx>
        <c:axId val="418226944"/>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418225152"/>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ln>
            <a:noFill/>
          </a:ln>
        </a:defRPr>
      </a:pPr>
    </a:p>
  </c:txPr>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755711335456109"/>
          <c:y val="0.0251858014240174"/>
          <c:w val="0.91606940981907"/>
          <c:h val="0.768601627499267"/>
        </c:manualLayout>
      </c:layout>
      <c:barChart>
        <c:barDir val="col"/>
        <c:grouping val="clustered"/>
        <c:varyColors val="0"/>
        <c:ser>
          <c:idx val="0"/>
          <c:order val="0"/>
          <c:tx>
            <c:strRef>
              <c:f>Sheet1!$B$1</c:f>
              <c:strCache>
                <c:ptCount val="1"/>
                <c:pt idx="0">
                  <c:v>2016届</c:v>
                </c:pt>
              </c:strCache>
            </c:strRef>
          </c:tx>
          <c:spPr>
            <a:solidFill>
              <a:schemeClr val="accent5">
                <a:lumMod val="75000"/>
                <a:alpha val="80000"/>
              </a:schemeClr>
            </a:solidFill>
            <a:ln>
              <a:noFill/>
            </a:ln>
            <a:effectLst/>
          </c:spPr>
          <c:invertIfNegative val="0"/>
          <c:dLbls>
            <c:dLbl>
              <c:idx val="1"/>
              <c:layout>
                <c:manualLayout>
                  <c:x val="-0.0070052539404554"/>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ln>
                      <a:noFill/>
                    </a:ln>
                    <a:solidFill>
                      <a:schemeClr val="tx1">
                        <a:lumMod val="65000"/>
                        <a:lumOff val="3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Sheet1!$A$2:$A$5</c:f>
              <c:strCache>
                <c:ptCount val="4"/>
                <c:pt idx="0">
                  <c:v>很相符</c:v>
                </c:pt>
                <c:pt idx="1">
                  <c:v>相符</c:v>
                </c:pt>
                <c:pt idx="2">
                  <c:v>不好说</c:v>
                </c:pt>
                <c:pt idx="3">
                  <c:v>不相符</c:v>
                </c:pt>
              </c:strCache>
            </c:strRef>
          </c:cat>
          <c:val>
            <c:numRef>
              <c:f>Sheet1!$B$2:$B$5</c:f>
              <c:numCache>
                <c:formatCode>###0.00%</c:formatCode>
                <c:ptCount val="4"/>
                <c:pt idx="0">
                  <c:v>0.357142857142858</c:v>
                </c:pt>
                <c:pt idx="1">
                  <c:v>0.428571428571429</c:v>
                </c:pt>
                <c:pt idx="2">
                  <c:v>0.214285714285714</c:v>
                </c:pt>
                <c:pt idx="3">
                  <c:v>0</c:v>
                </c:pt>
              </c:numCache>
            </c:numRef>
          </c:val>
        </c:ser>
        <c:ser>
          <c:idx val="1"/>
          <c:order val="1"/>
          <c:tx>
            <c:strRef>
              <c:f>Sheet1!$C$1</c:f>
              <c:strCache>
                <c:ptCount val="1"/>
                <c:pt idx="0">
                  <c:v>2017届</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ln>
                      <a:noFill/>
                    </a:ln>
                    <a:solidFill>
                      <a:schemeClr val="tx1">
                        <a:lumMod val="65000"/>
                        <a:lumOff val="3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Sheet1!$A$2:$A$5</c:f>
              <c:strCache>
                <c:ptCount val="4"/>
                <c:pt idx="0">
                  <c:v>很相符</c:v>
                </c:pt>
                <c:pt idx="1">
                  <c:v>相符</c:v>
                </c:pt>
                <c:pt idx="2">
                  <c:v>不好说</c:v>
                </c:pt>
                <c:pt idx="3">
                  <c:v>不相符</c:v>
                </c:pt>
              </c:strCache>
            </c:strRef>
          </c:cat>
          <c:val>
            <c:numRef>
              <c:f>Sheet1!$C$2:$C$5</c:f>
              <c:numCache>
                <c:formatCode>0.00%</c:formatCode>
                <c:ptCount val="4"/>
                <c:pt idx="0">
                  <c:v>0.35</c:v>
                </c:pt>
                <c:pt idx="1">
                  <c:v>0.45</c:v>
                </c:pt>
                <c:pt idx="2">
                  <c:v>0.1667</c:v>
                </c:pt>
                <c:pt idx="3">
                  <c:v>0.0333</c:v>
                </c:pt>
              </c:numCache>
            </c:numRef>
          </c:val>
        </c:ser>
        <c:dLbls>
          <c:showLegendKey val="0"/>
          <c:showVal val="1"/>
          <c:showCatName val="0"/>
          <c:showSerName val="0"/>
          <c:showPercent val="0"/>
          <c:showBubbleSize val="0"/>
        </c:dLbls>
        <c:gapWidth val="113"/>
        <c:overlap val="-7"/>
        <c:axId val="419478144"/>
        <c:axId val="419492224"/>
      </c:barChart>
      <c:catAx>
        <c:axId val="41947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1000" b="0" i="0" u="none" strike="noStrike" kern="1200" baseline="0">
                <a:ln>
                  <a:noFill/>
                </a:ln>
                <a:solidFill>
                  <a:schemeClr val="tx1">
                    <a:lumMod val="65000"/>
                    <a:lumOff val="35000"/>
                  </a:schemeClr>
                </a:solidFill>
                <a:latin typeface="+mn-lt"/>
                <a:ea typeface="+mn-ea"/>
                <a:cs typeface="+mn-cs"/>
              </a:defRPr>
            </a:pPr>
          </a:p>
        </c:txPr>
        <c:crossAx val="419492224"/>
        <c:crosses val="autoZero"/>
        <c:auto val="1"/>
        <c:lblAlgn val="ctr"/>
        <c:lblOffset val="100"/>
        <c:noMultiLvlLbl val="0"/>
      </c:catAx>
      <c:valAx>
        <c:axId val="419492224"/>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1000" b="0" i="0" u="none" strike="noStrike" kern="1200" baseline="0">
                <a:ln>
                  <a:noFill/>
                </a:ln>
                <a:solidFill>
                  <a:schemeClr val="tx1">
                    <a:lumMod val="65000"/>
                    <a:lumOff val="35000"/>
                  </a:schemeClr>
                </a:solidFill>
                <a:latin typeface="+mn-lt"/>
                <a:ea typeface="+mn-ea"/>
                <a:cs typeface="+mn-cs"/>
              </a:defRPr>
            </a:pPr>
          </a:p>
        </c:txPr>
        <c:crossAx val="419478144"/>
        <c:crosses val="autoZero"/>
        <c:crossBetween val="between"/>
      </c:valAx>
      <c:spPr>
        <a:noFill/>
        <a:ln>
          <a:noFill/>
        </a:ln>
        <a:effectLst/>
      </c:spPr>
    </c:plotArea>
    <c:legend>
      <c:legendPos val="b"/>
      <c:layout/>
      <c:overlay val="0"/>
      <c:txPr>
        <a:bodyPr rot="0" spcFirstLastPara="0" vertOverflow="ellipsis" vert="horz" wrap="square" anchor="ctr" anchorCtr="1"/>
        <a:lstStyle/>
        <a:p>
          <a:pPr>
            <a:defRPr lang="zh-CN" sz="1000" b="0" i="0" u="none" strike="noStrike" kern="1200" baseline="0">
              <a:ln>
                <a:noFill/>
              </a:ln>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prstDash val="solid"/>
      <a:round/>
    </a:ln>
    <a:effectLst/>
  </c:spPr>
  <c:txPr>
    <a:bodyPr/>
    <a:lstStyle/>
    <a:p>
      <a:pPr>
        <a:defRPr lang="zh-CN">
          <a:ln>
            <a:noFill/>
          </a:ln>
          <a:solidFill>
            <a:schemeClr val="tx1">
              <a:lumMod val="65000"/>
              <a:lumOff val="35000"/>
            </a:schemeClr>
          </a:solidFill>
        </a:defRPr>
      </a:pPr>
    </a:p>
  </c:txPr>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755711335456109"/>
          <c:y val="0.0251858014240174"/>
          <c:w val="0.91606940981907"/>
          <c:h val="0.862654721961763"/>
        </c:manualLayout>
      </c:layout>
      <c:barChart>
        <c:barDir val="col"/>
        <c:grouping val="clustered"/>
        <c:varyColors val="0"/>
        <c:ser>
          <c:idx val="0"/>
          <c:order val="0"/>
          <c:tx>
            <c:strRef>
              <c:f>Sheet1!$B$1</c:f>
              <c:strCache>
                <c:ptCount val="1"/>
                <c:pt idx="0">
                  <c:v/>
                </c:pt>
              </c:strCache>
            </c:strRef>
          </c:tx>
          <c:spPr>
            <a:solidFill>
              <a:schemeClr val="accent5">
                <a:alpha val="80000"/>
              </a:schemeClr>
            </a:solidFill>
            <a:ln>
              <a:noFill/>
            </a:ln>
            <a:effectLst/>
          </c:spPr>
          <c:invertIfNegative val="0"/>
          <c:dPt>
            <c:idx val="0"/>
            <c:invertIfNegative val="0"/>
            <c:bubble3D val="0"/>
            <c:spPr>
              <a:solidFill>
                <a:srgbClr val="358DA5">
                  <a:alpha val="80000"/>
                </a:srgbClr>
              </a:solidFill>
              <a:ln>
                <a:noFill/>
              </a:ln>
              <a:effectLst/>
            </c:spPr>
          </c:dPt>
          <c:dPt>
            <c:idx val="1"/>
            <c:invertIfNegative val="0"/>
            <c:bubble3D val="0"/>
            <c:spPr>
              <a:solidFill>
                <a:srgbClr val="358DA5">
                  <a:alpha val="80000"/>
                </a:srgbClr>
              </a:solidFill>
              <a:ln>
                <a:noFill/>
              </a:ln>
              <a:effectLst/>
            </c:spPr>
          </c:dPt>
          <c:dPt>
            <c:idx val="3"/>
            <c:invertIfNegative val="0"/>
            <c:bubble3D val="0"/>
            <c:spPr>
              <a:solidFill>
                <a:schemeClr val="accent5">
                  <a:lumMod val="60000"/>
                  <a:lumOff val="40000"/>
                  <a:alpha val="80000"/>
                </a:schemeClr>
              </a:solidFill>
              <a:ln>
                <a:noFill/>
              </a:ln>
              <a:effectLst/>
            </c:spPr>
          </c:dPt>
          <c:dLbls>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0"/>
                <c15:leaderLines/>
              </c:ext>
            </c:extLst>
          </c:dLbls>
          <c:cat>
            <c:strRef>
              <c:f>Sheet1!$A$2:$A$5</c:f>
              <c:strCache>
                <c:ptCount val="4"/>
                <c:pt idx="0">
                  <c:v>很积极</c:v>
                </c:pt>
                <c:pt idx="1">
                  <c:v>积极</c:v>
                </c:pt>
                <c:pt idx="2">
                  <c:v>不好说</c:v>
                </c:pt>
                <c:pt idx="3">
                  <c:v>不积极</c:v>
                </c:pt>
              </c:strCache>
            </c:strRef>
          </c:cat>
          <c:val>
            <c:numRef>
              <c:f>Sheet1!$B$2:$B$5</c:f>
              <c:numCache>
                <c:formatCode>0.0%</c:formatCode>
                <c:ptCount val="4"/>
                <c:pt idx="0">
                  <c:v>0.25</c:v>
                </c:pt>
                <c:pt idx="1">
                  <c:v>0.5333</c:v>
                </c:pt>
                <c:pt idx="2">
                  <c:v>0.1833</c:v>
                </c:pt>
                <c:pt idx="3">
                  <c:v>0.0333</c:v>
                </c:pt>
              </c:numCache>
            </c:numRef>
          </c:val>
          <c:extLst>
            <c:ext xmlns:c15="http://schemas.microsoft.com/office/drawing/2012/chart" uri="{02D57815-91ED-43cb-92C2-25804820EDAC}">
              <c15:datalabelsRange>
                <c15:f>Sheet1!$C$2:$C$7</c15:f>
                <c15:dlblRangeCache>
                  <c:ptCount val="6"/>
                </c15:dlblRangeCache>
              </c15:datalabelsRange>
            </c:ext>
          </c:extLst>
        </c:ser>
        <c:dLbls>
          <c:showLegendKey val="0"/>
          <c:showVal val="0"/>
          <c:showCatName val="0"/>
          <c:showSerName val="0"/>
          <c:showPercent val="0"/>
          <c:showBubbleSize val="0"/>
        </c:dLbls>
        <c:gapWidth val="182"/>
        <c:axId val="360569856"/>
        <c:axId val="360575744"/>
      </c:barChart>
      <c:catAx>
        <c:axId val="36056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60575744"/>
        <c:crosses val="autoZero"/>
        <c:auto val="1"/>
        <c:lblAlgn val="ctr"/>
        <c:lblOffset val="100"/>
        <c:noMultiLvlLbl val="0"/>
      </c:catAx>
      <c:valAx>
        <c:axId val="360575744"/>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60569856"/>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ln>
            <a:noFill/>
          </a:ln>
        </a:defRPr>
      </a:pPr>
    </a:p>
  </c:txPr>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
                </c:pt>
              </c:strCache>
            </c:strRef>
          </c:tx>
          <c:spPr>
            <a:solidFill>
              <a:schemeClr val="accent5">
                <a:alpha val="85000"/>
              </a:scheme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Sheet1!$A$2:$A$12</c:f>
              <c:strCache>
                <c:ptCount val="11"/>
                <c:pt idx="0">
                  <c:v>学校发布的招聘信息</c:v>
                </c:pt>
                <c:pt idx="1">
                  <c:v>学校组织的招聘会</c:v>
                </c:pt>
                <c:pt idx="2">
                  <c:v>老师推荐</c:v>
                </c:pt>
                <c:pt idx="3">
                  <c:v>社会渠道</c:v>
                </c:pt>
                <c:pt idx="4">
                  <c:v>院系发布的招聘信息</c:v>
                </c:pt>
                <c:pt idx="5">
                  <c:v>校友资源</c:v>
                </c:pt>
                <c:pt idx="6">
                  <c:v>用人单位自设渠道</c:v>
                </c:pt>
                <c:pt idx="7">
                  <c:v>亲友渠道</c:v>
                </c:pt>
                <c:pt idx="8">
                  <c:v>政府渠道</c:v>
                </c:pt>
                <c:pt idx="9">
                  <c:v>其他校园渠道</c:v>
                </c:pt>
                <c:pt idx="10">
                  <c:v>其他渠道</c:v>
                </c:pt>
              </c:strCache>
            </c:strRef>
          </c:cat>
          <c:val>
            <c:numRef>
              <c:f>Sheet1!$B$2:$B$12</c:f>
              <c:numCache>
                <c:formatCode>0.00%</c:formatCode>
                <c:ptCount val="11"/>
                <c:pt idx="0">
                  <c:v>0.633300000000001</c:v>
                </c:pt>
                <c:pt idx="1">
                  <c:v>0.383300000000001</c:v>
                </c:pt>
                <c:pt idx="2">
                  <c:v>0.333300000000002</c:v>
                </c:pt>
                <c:pt idx="3">
                  <c:v>0.2667</c:v>
                </c:pt>
                <c:pt idx="4">
                  <c:v>0.25</c:v>
                </c:pt>
                <c:pt idx="5">
                  <c:v>0.25</c:v>
                </c:pt>
                <c:pt idx="6">
                  <c:v>0.2333</c:v>
                </c:pt>
                <c:pt idx="7">
                  <c:v>0.1</c:v>
                </c:pt>
                <c:pt idx="8">
                  <c:v>0.0667</c:v>
                </c:pt>
                <c:pt idx="9">
                  <c:v>0.0333</c:v>
                </c:pt>
                <c:pt idx="10">
                  <c:v>0.0167000000000001</c:v>
                </c:pt>
              </c:numCache>
            </c:numRef>
          </c:val>
        </c:ser>
        <c:dLbls>
          <c:showLegendKey val="0"/>
          <c:showVal val="1"/>
          <c:showCatName val="0"/>
          <c:showSerName val="0"/>
          <c:showPercent val="0"/>
          <c:showBubbleSize val="0"/>
        </c:dLbls>
        <c:gapWidth val="65"/>
        <c:axId val="399089024"/>
        <c:axId val="419539200"/>
      </c:barChart>
      <c:catAx>
        <c:axId val="399089024"/>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419539200"/>
        <c:crosses val="autoZero"/>
        <c:auto val="1"/>
        <c:lblAlgn val="ctr"/>
        <c:lblOffset val="100"/>
        <c:noMultiLvlLbl val="0"/>
      </c:catAx>
      <c:valAx>
        <c:axId val="419539200"/>
        <c:scaling>
          <c:orientation val="minMax"/>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crossAx val="399089024"/>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08855185048178"/>
          <c:y val="0.0264005905511812"/>
          <c:w val="0.909114481495183"/>
          <c:h val="0.915026274347286"/>
        </c:manualLayout>
      </c:layout>
      <c:barChart>
        <c:barDir val="bar"/>
        <c:grouping val="clustered"/>
        <c:varyColors val="0"/>
        <c:ser>
          <c:idx val="0"/>
          <c:order val="0"/>
          <c:tx>
            <c:strRef>
              <c:f>Sheet1!$B$1</c:f>
              <c:strCache>
                <c:ptCount val="1"/>
                <c:pt idx="0">
                  <c:v/>
                </c:pt>
              </c:strCache>
            </c:strRef>
          </c:tx>
          <c:spPr>
            <a:solidFill>
              <a:schemeClr val="accent5">
                <a:alpha val="85000"/>
              </a:schemeClr>
            </a:solidFill>
            <a:ln w="9525" cap="flat" cmpd="sng" algn="ctr">
              <a:solidFill>
                <a:schemeClr val="lt1">
                  <a:alpha val="50000"/>
                </a:schemeClr>
              </a:solidFill>
              <a:round/>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Sheet1!$A$2:$A$17</c:f>
              <c:strCache>
                <c:ptCount val="16"/>
                <c:pt idx="0">
                  <c:v>施展个人的能力和特长</c:v>
                </c:pt>
                <c:pt idx="1">
                  <c:v>实现个人的抱负和目标</c:v>
                </c:pt>
                <c:pt idx="2">
                  <c:v>发挥自己的创造性</c:v>
                </c:pt>
                <c:pt idx="3">
                  <c:v>磨练个人能力</c:v>
                </c:pt>
                <c:pt idx="4">
                  <c:v>带给人激情</c:v>
                </c:pt>
                <c:pt idx="5">
                  <c:v>为社会发展创造价值</c:v>
                </c:pt>
                <c:pt idx="6">
                  <c:v>和家庭生活不相冲突</c:v>
                </c:pt>
                <c:pt idx="7">
                  <c:v>感到受重视</c:v>
                </c:pt>
                <c:pt idx="8">
                  <c:v>有高于一般水平的年薪</c:v>
                </c:pt>
                <c:pt idx="9">
                  <c:v>享受高地位的个人空间</c:v>
                </c:pt>
                <c:pt idx="10">
                  <c:v>提高我国该行业的世界竞争力</c:v>
                </c:pt>
                <c:pt idx="11">
                  <c:v>方便照顾父母</c:v>
                </c:pt>
                <c:pt idx="12">
                  <c:v>容易晋升到高地位</c:v>
                </c:pt>
                <c:pt idx="13">
                  <c:v>改变目前令人担忧的社会现状</c:v>
                </c:pt>
                <c:pt idx="14">
                  <c:v>和未来配偶在一起</c:v>
                </c:pt>
                <c:pt idx="15">
                  <c:v>周围人羡慕我</c:v>
                </c:pt>
              </c:strCache>
            </c:strRef>
          </c:cat>
          <c:val>
            <c:numRef>
              <c:f>Sheet1!$B$2:$B$17</c:f>
              <c:numCache>
                <c:formatCode>General</c:formatCode>
                <c:ptCount val="16"/>
                <c:pt idx="0">
                  <c:v>4.78</c:v>
                </c:pt>
                <c:pt idx="1">
                  <c:v>4.6</c:v>
                </c:pt>
                <c:pt idx="2">
                  <c:v>4.55</c:v>
                </c:pt>
                <c:pt idx="3">
                  <c:v>4.5</c:v>
                </c:pt>
                <c:pt idx="4">
                  <c:v>4.38</c:v>
                </c:pt>
                <c:pt idx="5">
                  <c:v>4.3</c:v>
                </c:pt>
                <c:pt idx="6">
                  <c:v>4.3</c:v>
                </c:pt>
                <c:pt idx="7">
                  <c:v>4.22</c:v>
                </c:pt>
                <c:pt idx="8">
                  <c:v>4.18</c:v>
                </c:pt>
                <c:pt idx="9">
                  <c:v>4.15</c:v>
                </c:pt>
                <c:pt idx="10">
                  <c:v>4</c:v>
                </c:pt>
                <c:pt idx="11">
                  <c:v>3.98</c:v>
                </c:pt>
                <c:pt idx="12">
                  <c:v>3.97</c:v>
                </c:pt>
                <c:pt idx="13">
                  <c:v>3.9</c:v>
                </c:pt>
                <c:pt idx="14">
                  <c:v>3.78</c:v>
                </c:pt>
                <c:pt idx="15">
                  <c:v>3.25</c:v>
                </c:pt>
              </c:numCache>
            </c:numRef>
          </c:val>
        </c:ser>
        <c:dLbls>
          <c:showLegendKey val="0"/>
          <c:showVal val="1"/>
          <c:showCatName val="0"/>
          <c:showSerName val="0"/>
          <c:showPercent val="0"/>
          <c:showBubbleSize val="0"/>
        </c:dLbls>
        <c:gapWidth val="65"/>
        <c:axId val="395912320"/>
        <c:axId val="395943936"/>
      </c:barChart>
      <c:catAx>
        <c:axId val="395912320"/>
        <c:scaling>
          <c:orientation val="maxMin"/>
        </c:scaling>
        <c:delete val="0"/>
        <c:axPos val="l"/>
        <c:numFmt formatCode="General" sourceLinked="0"/>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95943936"/>
        <c:crosses val="autoZero"/>
        <c:auto val="1"/>
        <c:lblAlgn val="ctr"/>
        <c:lblOffset val="100"/>
        <c:noMultiLvlLbl val="0"/>
      </c:catAx>
      <c:valAx>
        <c:axId val="395943936"/>
        <c:scaling>
          <c:orientation val="minMax"/>
          <c:max val="5"/>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_);[Red]\(#,##0.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crossAx val="395912320"/>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755711335456109"/>
          <c:y val="0.0251858014240174"/>
          <c:w val="0.91606940981907"/>
          <c:h val="0.862654721961763"/>
        </c:manualLayout>
      </c:layout>
      <c:barChart>
        <c:barDir val="col"/>
        <c:grouping val="clustered"/>
        <c:varyColors val="0"/>
        <c:ser>
          <c:idx val="0"/>
          <c:order val="0"/>
          <c:tx>
            <c:strRef>
              <c:f>Sheet1!$B$1</c:f>
              <c:strCache>
                <c:ptCount val="1"/>
                <c:pt idx="0">
                  <c:v/>
                </c:pt>
              </c:strCache>
            </c:strRef>
          </c:tx>
          <c:spPr>
            <a:solidFill>
              <a:schemeClr val="accent5">
                <a:alpha val="80000"/>
              </a:schemeClr>
            </a:solidFill>
            <a:ln>
              <a:noFill/>
            </a:ln>
            <a:effectLst/>
          </c:spPr>
          <c:invertIfNegative val="0"/>
          <c:dPt>
            <c:idx val="0"/>
            <c:invertIfNegative val="0"/>
            <c:bubble3D val="0"/>
            <c:spPr>
              <a:solidFill>
                <a:srgbClr val="358DA5">
                  <a:alpha val="80000"/>
                </a:srgbClr>
              </a:solidFill>
              <a:ln>
                <a:noFill/>
              </a:ln>
              <a:effectLst/>
            </c:spPr>
          </c:dPt>
          <c:dPt>
            <c:idx val="1"/>
            <c:invertIfNegative val="0"/>
            <c:bubble3D val="0"/>
            <c:spPr>
              <a:solidFill>
                <a:srgbClr val="358DA5">
                  <a:alpha val="80000"/>
                </a:srgbClr>
              </a:solidFill>
              <a:ln>
                <a:noFill/>
              </a:ln>
              <a:effectLst/>
            </c:spPr>
          </c:dPt>
          <c:dPt>
            <c:idx val="3"/>
            <c:invertIfNegative val="0"/>
            <c:bubble3D val="0"/>
            <c:spPr>
              <a:solidFill>
                <a:schemeClr val="accent5">
                  <a:lumMod val="60000"/>
                  <a:lumOff val="40000"/>
                  <a:alpha val="80000"/>
                </a:schemeClr>
              </a:solidFill>
              <a:ln>
                <a:noFill/>
              </a:ln>
              <a:effectLst/>
            </c:spPr>
          </c:dPt>
          <c:dPt>
            <c:idx val="4"/>
            <c:invertIfNegative val="0"/>
            <c:bubble3D val="0"/>
            <c:spPr>
              <a:solidFill>
                <a:schemeClr val="accent5">
                  <a:lumMod val="60000"/>
                  <a:lumOff val="40000"/>
                  <a:alpha val="80000"/>
                </a:schemeClr>
              </a:solidFill>
              <a:ln>
                <a:noFill/>
              </a:ln>
              <a:effectLst/>
            </c:spPr>
          </c:dPt>
          <c:dLbls>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0"/>
                <c15:leaderLines/>
              </c:ext>
            </c:extLst>
          </c:dLbls>
          <c:cat>
            <c:strRef>
              <c:f>Sheet1!$A$2:$A$6</c:f>
              <c:strCache>
                <c:ptCount val="5"/>
                <c:pt idx="0">
                  <c:v>很满意</c:v>
                </c:pt>
                <c:pt idx="1">
                  <c:v>满意</c:v>
                </c:pt>
                <c:pt idx="2">
                  <c:v>不好说</c:v>
                </c:pt>
                <c:pt idx="3">
                  <c:v>不满意</c:v>
                </c:pt>
                <c:pt idx="4">
                  <c:v>很不满意</c:v>
                </c:pt>
              </c:strCache>
            </c:strRef>
          </c:cat>
          <c:val>
            <c:numRef>
              <c:f>Sheet1!$B$2:$B$6</c:f>
              <c:numCache>
                <c:formatCode>0.0%</c:formatCode>
                <c:ptCount val="5"/>
                <c:pt idx="0">
                  <c:v>0.313900000000001</c:v>
                </c:pt>
                <c:pt idx="1">
                  <c:v>0.4672</c:v>
                </c:pt>
                <c:pt idx="2">
                  <c:v>0.1679</c:v>
                </c:pt>
                <c:pt idx="3">
                  <c:v>0.0365</c:v>
                </c:pt>
                <c:pt idx="4">
                  <c:v>0.0146</c:v>
                </c:pt>
              </c:numCache>
            </c:numRef>
          </c:val>
          <c:extLst>
            <c:ext xmlns:c15="http://schemas.microsoft.com/office/drawing/2012/chart" uri="{02D57815-91ED-43cb-92C2-25804820EDAC}">
              <c15:datalabelsRange>
                <c15:f>Sheet1!$C$2:$C$6</c15:f>
                <c15:dlblRangeCache>
                  <c:ptCount val="5"/>
                </c15:dlblRangeCache>
              </c15:datalabelsRange>
            </c:ext>
          </c:extLst>
        </c:ser>
        <c:dLbls>
          <c:showLegendKey val="0"/>
          <c:showVal val="0"/>
          <c:showCatName val="0"/>
          <c:showSerName val="0"/>
          <c:showPercent val="0"/>
          <c:showBubbleSize val="0"/>
        </c:dLbls>
        <c:gapWidth val="182"/>
        <c:axId val="339944192"/>
        <c:axId val="339945728"/>
      </c:barChart>
      <c:catAx>
        <c:axId val="33994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39945728"/>
        <c:crosses val="autoZero"/>
        <c:auto val="1"/>
        <c:lblAlgn val="ctr"/>
        <c:lblOffset val="100"/>
        <c:noMultiLvlLbl val="0"/>
      </c:catAx>
      <c:valAx>
        <c:axId val="339945728"/>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39944192"/>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ln>
            <a:noFill/>
          </a:ln>
        </a:defRPr>
      </a:pPr>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
                </c:pt>
              </c:strCache>
            </c:strRef>
          </c:tx>
          <c:spPr>
            <a:solidFill>
              <a:schemeClr val="accent5">
                <a:alpha val="85000"/>
              </a:scheme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个人理想</c:v>
                </c:pt>
                <c:pt idx="1">
                  <c:v>有好的创业点子想实践</c:v>
                </c:pt>
                <c:pt idx="2">
                  <c:v>期待有较高收入</c:v>
                </c:pt>
                <c:pt idx="3">
                  <c:v>未找到合适的工作</c:v>
                </c:pt>
                <c:pt idx="4">
                  <c:v>其他</c:v>
                </c:pt>
              </c:strCache>
            </c:strRef>
          </c:cat>
          <c:val>
            <c:numRef>
              <c:f>Sheet1!$B$2:$B$6</c:f>
              <c:numCache>
                <c:formatCode>0.00%</c:formatCode>
                <c:ptCount val="5"/>
                <c:pt idx="0">
                  <c:v>0.4</c:v>
                </c:pt>
                <c:pt idx="1">
                  <c:v>0.25</c:v>
                </c:pt>
                <c:pt idx="2">
                  <c:v>0.25</c:v>
                </c:pt>
                <c:pt idx="3">
                  <c:v>0.05</c:v>
                </c:pt>
                <c:pt idx="4">
                  <c:v>0.05</c:v>
                </c:pt>
              </c:numCache>
            </c:numRef>
          </c:val>
        </c:ser>
        <c:dLbls>
          <c:showLegendKey val="0"/>
          <c:showVal val="1"/>
          <c:showCatName val="0"/>
          <c:showSerName val="0"/>
          <c:showPercent val="0"/>
          <c:showBubbleSize val="0"/>
        </c:dLbls>
        <c:gapWidth val="65"/>
        <c:axId val="420174464"/>
        <c:axId val="420185600"/>
      </c:barChart>
      <c:catAx>
        <c:axId val="420174464"/>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420185600"/>
        <c:crosses val="autoZero"/>
        <c:auto val="1"/>
        <c:lblAlgn val="ctr"/>
        <c:lblOffset val="100"/>
        <c:noMultiLvlLbl val="0"/>
      </c:catAx>
      <c:valAx>
        <c:axId val="420185600"/>
        <c:scaling>
          <c:orientation val="minMax"/>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crossAx val="420174464"/>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0251858014240174"/>
          <c:w val="1"/>
          <c:h val="0.974814175625307"/>
        </c:manualLayout>
      </c:layout>
      <c:ofPieChart>
        <c:ofPieType val="pie"/>
        <c:varyColors val="1"/>
        <c:ser>
          <c:idx val="0"/>
          <c:order val="0"/>
          <c:tx>
            <c:strRef>
              <c:f>Sheet1!$B$1</c:f>
              <c:strCache>
                <c:ptCount val="1"/>
                <c:pt idx="0">
                  <c:v/>
                </c:pt>
              </c:strCache>
            </c:strRef>
          </c:tx>
          <c:explosion val="0"/>
          <c:dPt>
            <c:idx val="0"/>
            <c:bubble3D val="0"/>
            <c:spPr>
              <a:solidFill>
                <a:schemeClr val="accent1"/>
              </a:solidFill>
              <a:ln w="19050">
                <a:solidFill>
                  <a:schemeClr val="lt1"/>
                </a:solidFill>
              </a:ln>
              <a:effectLst/>
            </c:spPr>
          </c:dPt>
          <c:dPt>
            <c:idx val="1"/>
            <c:bubble3D val="0"/>
            <c:spPr>
              <a:solidFill>
                <a:schemeClr val="accent3"/>
              </a:solidFill>
              <a:ln w="19050">
                <a:solidFill>
                  <a:schemeClr val="lt1"/>
                </a:solidFill>
              </a:ln>
              <a:effectLst/>
            </c:spPr>
          </c:dPt>
          <c:dPt>
            <c:idx val="2"/>
            <c:bubble3D val="0"/>
            <c:spPr>
              <a:solidFill>
                <a:schemeClr val="accent5"/>
              </a:solidFill>
              <a:ln w="19050">
                <a:solidFill>
                  <a:schemeClr val="lt1"/>
                </a:solidFill>
              </a:ln>
              <a:effectLst/>
            </c:spPr>
          </c:dPt>
          <c:dPt>
            <c:idx val="3"/>
            <c:bubble3D val="0"/>
            <c:spPr>
              <a:solidFill>
                <a:schemeClr val="accent1">
                  <a:lumMod val="60000"/>
                </a:schemeClr>
              </a:solidFill>
              <a:ln w="19050">
                <a:solidFill>
                  <a:schemeClr val="lt1"/>
                </a:solidFill>
              </a:ln>
              <a:effectLst/>
            </c:spPr>
          </c:dPt>
          <c:dLbls>
            <c:dLbl>
              <c:idx val="1"/>
              <c:layout>
                <c:manualLayout>
                  <c:x val="0.140125627807239"/>
                  <c:y val="0.0751218481590729"/>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
                  <c:y val="0.0288128844575543"/>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3"/>
              <c:layout/>
              <c:tx>
                <c:rich>
                  <a:bodyPr rot="0" spcFirstLastPara="1"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r>
                      <a:rPr lang="zh-CN" altLang="en-US"/>
                      <a:t>其他地区</a:t>
                    </a:r>
                    <a:r>
                      <a:rPr lang="en-US" altLang="zh-CN"/>
                      <a:t>, 4</a:t>
                    </a:r>
                    <a:r>
                      <a:rPr lang="zh-CN" altLang="en-US"/>
                      <a:t>人</a:t>
                    </a:r>
                    <a:r>
                      <a:rPr lang="en-US" altLang="zh-CN"/>
                      <a:t>, 20.00%</a:t>
                    </a:r>
                    <a:endParaRPr lang="en-US" altLang="zh-CN"/>
                  </a:p>
                </c:rich>
              </c:tx>
              <c:dLblPos val="ctr"/>
              <c:showLegendKey val="0"/>
              <c:showVal val="1"/>
              <c:showCatName val="1"/>
              <c:showSerName val="0"/>
              <c:showPercent val="1"/>
              <c:showBubbleSize val="0"/>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ctr"/>
            <c:showLegendKey val="0"/>
            <c:showVal val="1"/>
            <c:showCatName val="1"/>
            <c:showSerName val="0"/>
            <c:showPercent val="1"/>
            <c:showBubbleSize val="0"/>
            <c:showLeaderLines val="0"/>
            <c:extLst>
              <c:ext xmlns:c15="http://schemas.microsoft.com/office/drawing/2012/chart" uri="{CE6537A1-D6FC-4f65-9D91-7224C49458BB}">
                <c15:layout/>
                <c15:showLeaderLines val="0"/>
                <c15:leaderLines/>
              </c:ext>
            </c:extLst>
          </c:dLbls>
          <c:cat>
            <c:strRef>
              <c:f>Sheet1!$A$2:$A$4</c:f>
              <c:strCache>
                <c:ptCount val="3"/>
                <c:pt idx="0">
                  <c:v>北京</c:v>
                </c:pt>
                <c:pt idx="1">
                  <c:v>东部地区</c:v>
                </c:pt>
                <c:pt idx="2">
                  <c:v>中部地区</c:v>
                </c:pt>
              </c:strCache>
            </c:strRef>
          </c:cat>
          <c:val>
            <c:numRef>
              <c:f>Sheet1!$B$2:$B$4</c:f>
              <c:numCache>
                <c:formatCode>###0"人"</c:formatCode>
                <c:ptCount val="3"/>
                <c:pt idx="0">
                  <c:v>16</c:v>
                </c:pt>
                <c:pt idx="1">
                  <c:v>3</c:v>
                </c:pt>
                <c:pt idx="2">
                  <c:v>1</c:v>
                </c:pt>
              </c:numCache>
            </c:numRef>
          </c:val>
        </c:ser>
        <c:dLbls>
          <c:showLegendKey val="0"/>
          <c:showVal val="0"/>
          <c:showCatName val="0"/>
          <c:showSerName val="0"/>
          <c:showPercent val="0"/>
          <c:showBubbleSize val="0"/>
          <c:showLeaderLines val="0"/>
        </c:dLbls>
        <c:gapWidth val="182"/>
        <c:splitType val="pos"/>
        <c:splitPos val="2"/>
        <c:secondPieSize val="75"/>
        <c:serLines>
          <c:spPr>
            <a:ln w="9525" cap="flat" cmpd="sng" algn="ctr">
              <a:solidFill>
                <a:schemeClr val="tx1">
                  <a:lumMod val="35000"/>
                  <a:lumOff val="65000"/>
                </a:schemeClr>
              </a:solidFill>
              <a:prstDash val="solid"/>
              <a:round/>
            </a:ln>
            <a:effectLst/>
          </c:spPr>
        </c:serLines>
      </c:of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毕业人数</c:v>
                </c:pt>
              </c:strCache>
            </c:strRef>
          </c:tx>
          <c:spPr>
            <a:solidFill>
              <a:schemeClr val="accent5">
                <a:shade val="76000"/>
              </a:schemeClr>
            </a:solidFill>
            <a:ln>
              <a:noFill/>
            </a:ln>
            <a:effectLst/>
          </c:spPr>
          <c:invertIfNegative val="0"/>
          <c:dLbls>
            <c:numFmt formatCode="##0&quot;人&quot;" sourceLinked="0"/>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Sheet1!$A$2:$A$6</c:f>
              <c:strCache>
                <c:ptCount val="5"/>
                <c:pt idx="0">
                  <c:v>北京</c:v>
                </c:pt>
                <c:pt idx="1">
                  <c:v>北部沿海经济区</c:v>
                </c:pt>
                <c:pt idx="2">
                  <c:v>东部沿海经济区</c:v>
                </c:pt>
                <c:pt idx="3">
                  <c:v>南部沿海经济区</c:v>
                </c:pt>
                <c:pt idx="4">
                  <c:v>长江中游经济区</c:v>
                </c:pt>
              </c:strCache>
            </c:strRef>
          </c:cat>
          <c:val>
            <c:numRef>
              <c:f>Sheet1!$B$2:$B$6</c:f>
              <c:numCache>
                <c:formatCode>0</c:formatCode>
                <c:ptCount val="5"/>
                <c:pt idx="0">
                  <c:v>16</c:v>
                </c:pt>
                <c:pt idx="1">
                  <c:v>1</c:v>
                </c:pt>
                <c:pt idx="2">
                  <c:v>1</c:v>
                </c:pt>
                <c:pt idx="3">
                  <c:v>1</c:v>
                </c:pt>
                <c:pt idx="4">
                  <c:v>1</c:v>
                </c:pt>
              </c:numCache>
            </c:numRef>
          </c:val>
        </c:ser>
        <c:dLbls>
          <c:showLegendKey val="0"/>
          <c:showVal val="0"/>
          <c:showCatName val="0"/>
          <c:showSerName val="0"/>
          <c:showPercent val="0"/>
          <c:showBubbleSize val="0"/>
        </c:dLbls>
        <c:gapWidth val="219"/>
        <c:overlap val="-27"/>
        <c:axId val="420330496"/>
        <c:axId val="420344576"/>
      </c:barChart>
      <c:lineChart>
        <c:grouping val="standard"/>
        <c:varyColors val="0"/>
        <c:ser>
          <c:idx val="1"/>
          <c:order val="1"/>
          <c:tx>
            <c:strRef>
              <c:f>Sheet1!$C$1</c:f>
              <c:strCache>
                <c:ptCount val="1"/>
                <c:pt idx="0">
                  <c:v>所占%</c:v>
                </c:pt>
              </c:strCache>
            </c:strRef>
          </c:tx>
          <c:spPr>
            <a:ln w="28575" cap="rnd" cmpd="sng" algn="ctr">
              <a:solidFill>
                <a:schemeClr val="accent5">
                  <a:tint val="77000"/>
                  <a:shade val="95000"/>
                  <a:satMod val="105000"/>
                </a:schemeClr>
              </a:solidFill>
              <a:prstDash val="solid"/>
              <a:round/>
            </a:ln>
            <a:effectLst/>
          </c:spPr>
          <c:marker>
            <c:spPr>
              <a:solidFill>
                <a:schemeClr val="accent5">
                  <a:tint val="77000"/>
                </a:schemeClr>
              </a:solidFill>
              <a:ln w="9525" cap="flat" cmpd="sng" algn="ctr">
                <a:solidFill>
                  <a:schemeClr val="accent5">
                    <a:tint val="77000"/>
                    <a:shade val="95000"/>
                    <a:satMod val="105000"/>
                  </a:schemeClr>
                </a:solidFill>
                <a:prstDash val="solid"/>
                <a:round/>
              </a:ln>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北京</c:v>
                </c:pt>
                <c:pt idx="1">
                  <c:v>北部沿海经济区</c:v>
                </c:pt>
                <c:pt idx="2">
                  <c:v>东部沿海经济区</c:v>
                </c:pt>
                <c:pt idx="3">
                  <c:v>南部沿海经济区</c:v>
                </c:pt>
                <c:pt idx="4">
                  <c:v>长江中游经济区</c:v>
                </c:pt>
              </c:strCache>
            </c:strRef>
          </c:cat>
          <c:val>
            <c:numRef>
              <c:f>Sheet1!$C$2:$C$6</c:f>
              <c:numCache>
                <c:formatCode>0.0%</c:formatCode>
                <c:ptCount val="5"/>
                <c:pt idx="0">
                  <c:v>0.8</c:v>
                </c:pt>
                <c:pt idx="1">
                  <c:v>0.05</c:v>
                </c:pt>
                <c:pt idx="2">
                  <c:v>0.05</c:v>
                </c:pt>
                <c:pt idx="3">
                  <c:v>0.05</c:v>
                </c:pt>
                <c:pt idx="4">
                  <c:v>0.05</c:v>
                </c:pt>
              </c:numCache>
            </c:numRef>
          </c:val>
          <c:smooth val="0"/>
        </c:ser>
        <c:dLbls>
          <c:showLegendKey val="0"/>
          <c:showVal val="0"/>
          <c:showCatName val="0"/>
          <c:showSerName val="0"/>
          <c:showPercent val="0"/>
          <c:showBubbleSize val="0"/>
        </c:dLbls>
        <c:marker val="1"/>
        <c:smooth val="0"/>
        <c:axId val="389746688"/>
        <c:axId val="420346112"/>
      </c:lineChart>
      <c:catAx>
        <c:axId val="42033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20344576"/>
        <c:crosses val="autoZero"/>
        <c:auto val="1"/>
        <c:lblAlgn val="ctr"/>
        <c:lblOffset val="100"/>
        <c:tickLblSkip val="1"/>
        <c:noMultiLvlLbl val="0"/>
      </c:catAx>
      <c:valAx>
        <c:axId val="420344576"/>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20330496"/>
        <c:crosses val="autoZero"/>
        <c:crossBetween val="between"/>
      </c:valAx>
      <c:catAx>
        <c:axId val="389746688"/>
        <c:scaling>
          <c:orientation val="minMax"/>
        </c:scaling>
        <c:delete val="1"/>
        <c:axPos val="b"/>
        <c:numFmt formatCode="General" sourceLinked="1"/>
        <c:majorTickMark val="out"/>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0346112"/>
        <c:crosses val="autoZero"/>
        <c:auto val="1"/>
        <c:lblAlgn val="ctr"/>
        <c:lblOffset val="100"/>
        <c:noMultiLvlLbl val="0"/>
      </c:catAx>
      <c:valAx>
        <c:axId val="420346112"/>
        <c:scaling>
          <c:orientation val="minMax"/>
        </c:scaling>
        <c:delete val="0"/>
        <c:axPos val="r"/>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9746688"/>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no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毕业人数</c:v>
                </c:pt>
              </c:strCache>
            </c:strRef>
          </c:tx>
          <c:spPr>
            <a:solidFill>
              <a:schemeClr val="accent5">
                <a:shade val="76000"/>
              </a:schemeClr>
            </a:solidFill>
            <a:ln>
              <a:noFill/>
            </a:ln>
            <a:effectLst/>
          </c:spPr>
          <c:invertIfNegative val="0"/>
          <c:dLbls>
            <c:numFmt formatCode="##0&quot;人&quot;" sourceLinked="0"/>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Sheet1!$A$2:$A$5</c:f>
              <c:strCache>
                <c:ptCount val="4"/>
                <c:pt idx="0">
                  <c:v>信息产业</c:v>
                </c:pt>
                <c:pt idx="1">
                  <c:v>教育及科研行业</c:v>
                </c:pt>
                <c:pt idx="2">
                  <c:v>文化、体育和娱乐业</c:v>
                </c:pt>
                <c:pt idx="3">
                  <c:v>军队</c:v>
                </c:pt>
              </c:strCache>
            </c:strRef>
          </c:cat>
          <c:val>
            <c:numRef>
              <c:f>Sheet1!$B$2:$B$5</c:f>
              <c:numCache>
                <c:formatCode>0</c:formatCode>
                <c:ptCount val="4"/>
                <c:pt idx="0">
                  <c:v>1</c:v>
                </c:pt>
                <c:pt idx="1">
                  <c:v>3</c:v>
                </c:pt>
                <c:pt idx="2">
                  <c:v>14</c:v>
                </c:pt>
                <c:pt idx="3">
                  <c:v>2</c:v>
                </c:pt>
              </c:numCache>
            </c:numRef>
          </c:val>
        </c:ser>
        <c:dLbls>
          <c:showLegendKey val="0"/>
          <c:showVal val="0"/>
          <c:showCatName val="0"/>
          <c:showSerName val="0"/>
          <c:showPercent val="0"/>
          <c:showBubbleSize val="0"/>
        </c:dLbls>
        <c:gapWidth val="219"/>
        <c:overlap val="-27"/>
        <c:axId val="389766144"/>
        <c:axId val="389804800"/>
      </c:barChart>
      <c:lineChart>
        <c:grouping val="standard"/>
        <c:varyColors val="0"/>
        <c:ser>
          <c:idx val="1"/>
          <c:order val="1"/>
          <c:tx>
            <c:strRef>
              <c:f>Sheet1!$C$1</c:f>
              <c:strCache>
                <c:ptCount val="1"/>
                <c:pt idx="0">
                  <c:v>所占%</c:v>
                </c:pt>
              </c:strCache>
            </c:strRef>
          </c:tx>
          <c:spPr>
            <a:ln w="28575" cap="rnd" cmpd="sng" algn="ctr">
              <a:solidFill>
                <a:schemeClr val="accent5">
                  <a:tint val="77000"/>
                  <a:shade val="95000"/>
                  <a:satMod val="105000"/>
                </a:schemeClr>
              </a:solidFill>
              <a:prstDash val="solid"/>
              <a:round/>
            </a:ln>
            <a:effectLst/>
          </c:spPr>
          <c:marker>
            <c:spPr>
              <a:solidFill>
                <a:schemeClr val="accent5">
                  <a:tint val="77000"/>
                </a:schemeClr>
              </a:solidFill>
              <a:ln w="9525" cap="flat" cmpd="sng" algn="ctr">
                <a:solidFill>
                  <a:schemeClr val="accent5">
                    <a:tint val="77000"/>
                    <a:shade val="95000"/>
                    <a:satMod val="105000"/>
                  </a:schemeClr>
                </a:solidFill>
                <a:prstDash val="solid"/>
                <a:round/>
              </a:ln>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信息产业</c:v>
                </c:pt>
                <c:pt idx="1">
                  <c:v>教育及科研行业</c:v>
                </c:pt>
                <c:pt idx="2">
                  <c:v>文化、体育和娱乐业</c:v>
                </c:pt>
                <c:pt idx="3">
                  <c:v>军队</c:v>
                </c:pt>
              </c:strCache>
            </c:strRef>
          </c:cat>
          <c:val>
            <c:numRef>
              <c:f>Sheet1!$C$2:$C$5</c:f>
              <c:numCache>
                <c:formatCode>0.0%</c:formatCode>
                <c:ptCount val="4"/>
                <c:pt idx="0">
                  <c:v>0.05</c:v>
                </c:pt>
                <c:pt idx="1">
                  <c:v>0.15</c:v>
                </c:pt>
                <c:pt idx="2">
                  <c:v>0.700000000000001</c:v>
                </c:pt>
                <c:pt idx="3">
                  <c:v>0.1</c:v>
                </c:pt>
              </c:numCache>
            </c:numRef>
          </c:val>
          <c:smooth val="0"/>
        </c:ser>
        <c:dLbls>
          <c:showLegendKey val="0"/>
          <c:showVal val="0"/>
          <c:showCatName val="0"/>
          <c:showSerName val="0"/>
          <c:showPercent val="0"/>
          <c:showBubbleSize val="0"/>
        </c:dLbls>
        <c:marker val="1"/>
        <c:smooth val="0"/>
        <c:axId val="398815232"/>
        <c:axId val="389806336"/>
      </c:lineChart>
      <c:catAx>
        <c:axId val="38976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89804800"/>
        <c:crosses val="autoZero"/>
        <c:auto val="1"/>
        <c:lblAlgn val="ctr"/>
        <c:lblOffset val="100"/>
        <c:tickLblSkip val="1"/>
        <c:noMultiLvlLbl val="0"/>
      </c:catAx>
      <c:valAx>
        <c:axId val="389804800"/>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89766144"/>
        <c:crosses val="autoZero"/>
        <c:crossBetween val="between"/>
      </c:valAx>
      <c:catAx>
        <c:axId val="398815232"/>
        <c:scaling>
          <c:orientation val="minMax"/>
        </c:scaling>
        <c:delete val="1"/>
        <c:axPos val="b"/>
        <c:numFmt formatCode="General" sourceLinked="1"/>
        <c:majorTickMark val="out"/>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9806336"/>
        <c:crosses val="autoZero"/>
        <c:auto val="1"/>
        <c:lblAlgn val="ctr"/>
        <c:lblOffset val="100"/>
        <c:noMultiLvlLbl val="0"/>
      </c:catAx>
      <c:valAx>
        <c:axId val="389806336"/>
        <c:scaling>
          <c:orientation val="minMax"/>
        </c:scaling>
        <c:delete val="0"/>
        <c:axPos val="r"/>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98815232"/>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no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毕业人数</c:v>
                </c:pt>
              </c:strCache>
            </c:strRef>
          </c:tx>
          <c:spPr>
            <a:solidFill>
              <a:schemeClr val="accent5">
                <a:shade val="76000"/>
              </a:schemeClr>
            </a:solidFill>
            <a:ln>
              <a:noFill/>
            </a:ln>
            <a:effectLst/>
          </c:spPr>
          <c:invertIfNegative val="0"/>
          <c:dLbls>
            <c:numFmt formatCode="##0&quot;人&quot;" sourceLinked="0"/>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Sheet1!$A$2:$A$5</c:f>
              <c:strCache>
                <c:ptCount val="4"/>
                <c:pt idx="0">
                  <c:v>很相关</c:v>
                </c:pt>
                <c:pt idx="1">
                  <c:v>相关</c:v>
                </c:pt>
                <c:pt idx="2">
                  <c:v>不好说</c:v>
                </c:pt>
                <c:pt idx="3">
                  <c:v>很不相关</c:v>
                </c:pt>
              </c:strCache>
            </c:strRef>
          </c:cat>
          <c:val>
            <c:numRef>
              <c:f>Sheet1!$B$2:$B$5</c:f>
              <c:numCache>
                <c:formatCode>0</c:formatCode>
                <c:ptCount val="4"/>
                <c:pt idx="0">
                  <c:v>9</c:v>
                </c:pt>
                <c:pt idx="1">
                  <c:v>6</c:v>
                </c:pt>
                <c:pt idx="2">
                  <c:v>4</c:v>
                </c:pt>
                <c:pt idx="3">
                  <c:v>1</c:v>
                </c:pt>
              </c:numCache>
            </c:numRef>
          </c:val>
        </c:ser>
        <c:dLbls>
          <c:showLegendKey val="0"/>
          <c:showVal val="0"/>
          <c:showCatName val="0"/>
          <c:showSerName val="0"/>
          <c:showPercent val="0"/>
          <c:showBubbleSize val="0"/>
        </c:dLbls>
        <c:gapWidth val="219"/>
        <c:overlap val="-27"/>
        <c:axId val="389782912"/>
        <c:axId val="419959936"/>
      </c:barChart>
      <c:lineChart>
        <c:grouping val="standard"/>
        <c:varyColors val="0"/>
        <c:ser>
          <c:idx val="1"/>
          <c:order val="1"/>
          <c:tx>
            <c:strRef>
              <c:f>Sheet1!$C$1</c:f>
              <c:strCache>
                <c:ptCount val="1"/>
                <c:pt idx="0">
                  <c:v>所占%</c:v>
                </c:pt>
              </c:strCache>
            </c:strRef>
          </c:tx>
          <c:spPr>
            <a:ln w="28575" cap="rnd" cmpd="sng" algn="ctr">
              <a:solidFill>
                <a:schemeClr val="accent5">
                  <a:tint val="77000"/>
                  <a:shade val="95000"/>
                  <a:satMod val="105000"/>
                </a:schemeClr>
              </a:solidFill>
              <a:prstDash val="solid"/>
              <a:round/>
            </a:ln>
            <a:effectLst/>
          </c:spPr>
          <c:marker>
            <c:spPr>
              <a:solidFill>
                <a:schemeClr val="accent5">
                  <a:tint val="77000"/>
                </a:schemeClr>
              </a:solidFill>
              <a:ln w="9525" cap="flat" cmpd="sng" algn="ctr">
                <a:solidFill>
                  <a:schemeClr val="accent5">
                    <a:tint val="77000"/>
                    <a:shade val="95000"/>
                    <a:satMod val="105000"/>
                  </a:schemeClr>
                </a:solidFill>
                <a:prstDash val="solid"/>
                <a:round/>
              </a:ln>
              <a:effectLst/>
            </c:spPr>
          </c:marker>
          <c:dLbls>
            <c:dLbl>
              <c:idx val="3"/>
              <c:layout>
                <c:manualLayout>
                  <c:x val="-0.0339234055597065"/>
                  <c:y val="-0.10600728865726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很相关</c:v>
                </c:pt>
                <c:pt idx="1">
                  <c:v>相关</c:v>
                </c:pt>
                <c:pt idx="2">
                  <c:v>不好说</c:v>
                </c:pt>
                <c:pt idx="3">
                  <c:v>很不相关</c:v>
                </c:pt>
              </c:strCache>
            </c:strRef>
          </c:cat>
          <c:val>
            <c:numRef>
              <c:f>Sheet1!$C$2:$C$5</c:f>
              <c:numCache>
                <c:formatCode>0.00%</c:formatCode>
                <c:ptCount val="4"/>
                <c:pt idx="0">
                  <c:v>0.45</c:v>
                </c:pt>
                <c:pt idx="1">
                  <c:v>0.3</c:v>
                </c:pt>
                <c:pt idx="2">
                  <c:v>0.2</c:v>
                </c:pt>
                <c:pt idx="3">
                  <c:v>0.05</c:v>
                </c:pt>
              </c:numCache>
            </c:numRef>
          </c:val>
          <c:smooth val="0"/>
        </c:ser>
        <c:dLbls>
          <c:showLegendKey val="0"/>
          <c:showVal val="0"/>
          <c:showCatName val="0"/>
          <c:showSerName val="0"/>
          <c:showPercent val="0"/>
          <c:showBubbleSize val="0"/>
        </c:dLbls>
        <c:marker val="1"/>
        <c:smooth val="0"/>
        <c:axId val="420004224"/>
        <c:axId val="419961472"/>
      </c:lineChart>
      <c:catAx>
        <c:axId val="38978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19959936"/>
        <c:crosses val="autoZero"/>
        <c:auto val="1"/>
        <c:lblAlgn val="ctr"/>
        <c:lblOffset val="100"/>
        <c:tickLblSkip val="1"/>
        <c:noMultiLvlLbl val="0"/>
      </c:catAx>
      <c:valAx>
        <c:axId val="419959936"/>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89782912"/>
        <c:crosses val="autoZero"/>
        <c:crossBetween val="between"/>
      </c:valAx>
      <c:catAx>
        <c:axId val="420004224"/>
        <c:scaling>
          <c:orientation val="minMax"/>
        </c:scaling>
        <c:delete val="1"/>
        <c:axPos val="b"/>
        <c:numFmt formatCode="General" sourceLinked="1"/>
        <c:majorTickMark val="out"/>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19961472"/>
        <c:crosses val="autoZero"/>
        <c:auto val="1"/>
        <c:lblAlgn val="ctr"/>
        <c:lblOffset val="100"/>
        <c:noMultiLvlLbl val="0"/>
      </c:catAx>
      <c:valAx>
        <c:axId val="419961472"/>
        <c:scaling>
          <c:orientation val="minMax"/>
        </c:scaling>
        <c:delete val="0"/>
        <c:axPos val="r"/>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0004224"/>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no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442231711631657"/>
          <c:y val="0.0293129165705299"/>
          <c:w val="0.91606940981907"/>
          <c:h val="0.857855474257449"/>
        </c:manualLayout>
      </c:layout>
      <c:barChart>
        <c:barDir val="col"/>
        <c:grouping val="clustered"/>
        <c:varyColors val="0"/>
        <c:ser>
          <c:idx val="0"/>
          <c:order val="0"/>
          <c:tx>
            <c:strRef>
              <c:f>Sheet1!$B$1</c:f>
              <c:strCache>
                <c:ptCount val="1"/>
                <c:pt idx="0">
                  <c:v/>
                </c:pt>
              </c:strCache>
            </c:strRef>
          </c:tx>
          <c:spPr>
            <a:solidFill>
              <a:schemeClr val="accent5">
                <a:alpha val="85000"/>
              </a:scheme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0-6个月</c:v>
                </c:pt>
                <c:pt idx="1">
                  <c:v>6-12个月</c:v>
                </c:pt>
                <c:pt idx="2">
                  <c:v>12个月以上</c:v>
                </c:pt>
              </c:strCache>
            </c:strRef>
          </c:cat>
          <c:val>
            <c:numRef>
              <c:f>Sheet1!$B$2:$B$4</c:f>
              <c:numCache>
                <c:formatCode>0.0%</c:formatCode>
                <c:ptCount val="3"/>
                <c:pt idx="0">
                  <c:v>0.333300000000002</c:v>
                </c:pt>
                <c:pt idx="1">
                  <c:v>0.4</c:v>
                </c:pt>
                <c:pt idx="2">
                  <c:v>0.2667</c:v>
                </c:pt>
              </c:numCache>
            </c:numRef>
          </c:val>
        </c:ser>
        <c:dLbls>
          <c:showLegendKey val="0"/>
          <c:showVal val="1"/>
          <c:showCatName val="0"/>
          <c:showSerName val="0"/>
          <c:showPercent val="0"/>
          <c:showBubbleSize val="0"/>
        </c:dLbls>
        <c:gapWidth val="65"/>
        <c:axId val="420019584"/>
        <c:axId val="420256000"/>
      </c:barChart>
      <c:catAx>
        <c:axId val="4200195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420256000"/>
        <c:crosses val="autoZero"/>
        <c:auto val="1"/>
        <c:lblAlgn val="ctr"/>
        <c:lblOffset val="100"/>
        <c:noMultiLvlLbl val="0"/>
      </c:catAx>
      <c:valAx>
        <c:axId val="4202560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 sourceLinked="0"/>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0019584"/>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442231711631657"/>
          <c:y val="0.0293129165705299"/>
          <c:w val="0.91606940981907"/>
          <c:h val="0.857855474257449"/>
        </c:manualLayout>
      </c:layout>
      <c:barChart>
        <c:barDir val="col"/>
        <c:grouping val="clustered"/>
        <c:varyColors val="0"/>
        <c:ser>
          <c:idx val="0"/>
          <c:order val="0"/>
          <c:tx>
            <c:strRef>
              <c:f>Sheet1!$B$1</c:f>
              <c:strCache>
                <c:ptCount val="1"/>
                <c:pt idx="0">
                  <c:v/>
                </c:pt>
              </c:strCache>
            </c:strRef>
          </c:tx>
          <c:spPr>
            <a:solidFill>
              <a:schemeClr val="accent5">
                <a:alpha val="85000"/>
              </a:scheme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3人以下</c:v>
                </c:pt>
                <c:pt idx="1">
                  <c:v>3-10人</c:v>
                </c:pt>
                <c:pt idx="2">
                  <c:v>10人及以上</c:v>
                </c:pt>
              </c:strCache>
            </c:strRef>
          </c:cat>
          <c:val>
            <c:numRef>
              <c:f>Sheet1!$B$2:$B$4</c:f>
              <c:numCache>
                <c:formatCode>0.0%</c:formatCode>
                <c:ptCount val="3"/>
                <c:pt idx="0">
                  <c:v>0.388900000000001</c:v>
                </c:pt>
                <c:pt idx="1">
                  <c:v>0.5</c:v>
                </c:pt>
                <c:pt idx="2">
                  <c:v>0.1111</c:v>
                </c:pt>
              </c:numCache>
            </c:numRef>
          </c:val>
        </c:ser>
        <c:dLbls>
          <c:showLegendKey val="0"/>
          <c:showVal val="1"/>
          <c:showCatName val="0"/>
          <c:showSerName val="0"/>
          <c:showPercent val="0"/>
          <c:showBubbleSize val="0"/>
        </c:dLbls>
        <c:gapWidth val="65"/>
        <c:axId val="420062336"/>
        <c:axId val="420065280"/>
      </c:barChart>
      <c:catAx>
        <c:axId val="4200623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420065280"/>
        <c:crosses val="autoZero"/>
        <c:auto val="1"/>
        <c:lblAlgn val="ctr"/>
        <c:lblOffset val="100"/>
        <c:noMultiLvlLbl val="0"/>
      </c:catAx>
      <c:valAx>
        <c:axId val="4200652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 sourceLinked="0"/>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0062336"/>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442231711631657"/>
          <c:y val="0.0293129165705299"/>
          <c:w val="0.91606940981907"/>
          <c:h val="0.857855474257449"/>
        </c:manualLayout>
      </c:layout>
      <c:barChart>
        <c:barDir val="col"/>
        <c:grouping val="clustered"/>
        <c:varyColors val="0"/>
        <c:ser>
          <c:idx val="0"/>
          <c:order val="0"/>
          <c:tx>
            <c:strRef>
              <c:f>Sheet1!$B$1</c:f>
              <c:strCache>
                <c:ptCount val="1"/>
                <c:pt idx="0">
                  <c:v/>
                </c:pt>
              </c:strCache>
            </c:strRef>
          </c:tx>
          <c:spPr>
            <a:solidFill>
              <a:schemeClr val="accent5">
                <a:alpha val="85000"/>
              </a:scheme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5万以下</c:v>
                </c:pt>
                <c:pt idx="1">
                  <c:v>5-10万</c:v>
                </c:pt>
                <c:pt idx="2">
                  <c:v>10万以上</c:v>
                </c:pt>
              </c:strCache>
            </c:strRef>
          </c:cat>
          <c:val>
            <c:numRef>
              <c:f>Sheet1!$B$2:$B$4</c:f>
              <c:numCache>
                <c:formatCode>0.0%</c:formatCode>
                <c:ptCount val="3"/>
                <c:pt idx="0">
                  <c:v>0.25</c:v>
                </c:pt>
                <c:pt idx="1">
                  <c:v>0.5</c:v>
                </c:pt>
                <c:pt idx="2">
                  <c:v>0.25</c:v>
                </c:pt>
              </c:numCache>
            </c:numRef>
          </c:val>
        </c:ser>
        <c:dLbls>
          <c:showLegendKey val="0"/>
          <c:showVal val="1"/>
          <c:showCatName val="0"/>
          <c:showSerName val="0"/>
          <c:showPercent val="0"/>
          <c:showBubbleSize val="0"/>
        </c:dLbls>
        <c:gapWidth val="65"/>
        <c:axId val="420076160"/>
        <c:axId val="420124160"/>
      </c:barChart>
      <c:catAx>
        <c:axId val="4200761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420124160"/>
        <c:crosses val="autoZero"/>
        <c:auto val="1"/>
        <c:lblAlgn val="ctr"/>
        <c:lblOffset val="100"/>
        <c:noMultiLvlLbl val="0"/>
      </c:catAx>
      <c:valAx>
        <c:axId val="4201241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 sourceLinked="0"/>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0076160"/>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442231711631657"/>
          <c:y val="0.0293129165705299"/>
          <c:w val="0.91606940981907"/>
          <c:h val="0.857855474257449"/>
        </c:manualLayout>
      </c:layout>
      <c:barChart>
        <c:barDir val="col"/>
        <c:grouping val="clustered"/>
        <c:varyColors val="0"/>
        <c:ser>
          <c:idx val="0"/>
          <c:order val="0"/>
          <c:tx>
            <c:strRef>
              <c:f>Sheet1!$B$1</c:f>
              <c:strCache>
                <c:ptCount val="1"/>
                <c:pt idx="0">
                  <c:v/>
                </c:pt>
              </c:strCache>
            </c:strRef>
          </c:tx>
          <c:spPr>
            <a:solidFill>
              <a:schemeClr val="accent5">
                <a:alpha val="85000"/>
              </a:scheme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10万以下</c:v>
                </c:pt>
                <c:pt idx="1">
                  <c:v>10-50万</c:v>
                </c:pt>
                <c:pt idx="2">
                  <c:v>50万以上</c:v>
                </c:pt>
              </c:strCache>
            </c:strRef>
          </c:cat>
          <c:val>
            <c:numRef>
              <c:f>Sheet1!$B$2:$B$4</c:f>
              <c:numCache>
                <c:formatCode>0.0%</c:formatCode>
                <c:ptCount val="3"/>
                <c:pt idx="0">
                  <c:v>0.2727</c:v>
                </c:pt>
                <c:pt idx="1">
                  <c:v>0.4545</c:v>
                </c:pt>
                <c:pt idx="2">
                  <c:v>0.2727</c:v>
                </c:pt>
              </c:numCache>
            </c:numRef>
          </c:val>
        </c:ser>
        <c:dLbls>
          <c:showLegendKey val="0"/>
          <c:showVal val="1"/>
          <c:showCatName val="0"/>
          <c:showSerName val="0"/>
          <c:showPercent val="0"/>
          <c:showBubbleSize val="0"/>
        </c:dLbls>
        <c:gapWidth val="65"/>
        <c:axId val="421544320"/>
        <c:axId val="421547008"/>
      </c:barChart>
      <c:catAx>
        <c:axId val="4215443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421547008"/>
        <c:crosses val="autoZero"/>
        <c:auto val="1"/>
        <c:lblAlgn val="ctr"/>
        <c:lblOffset val="100"/>
        <c:noMultiLvlLbl val="0"/>
      </c:catAx>
      <c:valAx>
        <c:axId val="4215470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 sourceLinked="0"/>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1544320"/>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10734463276838"/>
          <c:y val="0.054726368159204"/>
          <c:w val="0.934265091863517"/>
          <c:h val="0.755158067928079"/>
        </c:manualLayout>
      </c:layout>
      <c:lineChart>
        <c:grouping val="standard"/>
        <c:varyColors val="0"/>
        <c:ser>
          <c:idx val="0"/>
          <c:order val="0"/>
          <c:tx>
            <c:strRef>
              <c:f>Sheet1!$B$1</c:f>
              <c:strCache>
                <c:ptCount val="1"/>
                <c:pt idx="0">
                  <c:v/>
                </c:pt>
              </c:strCache>
            </c:strRef>
          </c:tx>
          <c:spPr>
            <a:ln w="31750" cap="rnd" cmpd="sng" algn="ctr">
              <a:solidFill>
                <a:schemeClr val="accent5"/>
              </a:solidFill>
              <a:prstDash val="solid"/>
              <a:round/>
            </a:ln>
            <a:effectLst/>
          </c:spPr>
          <c:marker>
            <c:symbol val="circle"/>
            <c:size val="17"/>
            <c:spPr>
              <a:solidFill>
                <a:schemeClr val="accent5"/>
              </a:solidFill>
              <a:ln w="9525" cap="flat" cmpd="sng" algn="ctr">
                <a:noFill/>
                <a:prstDash val="solid"/>
                <a:round/>
              </a:ln>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Sheet1!$A$2:$A$7</c:f>
              <c:strCache>
                <c:ptCount val="6"/>
                <c:pt idx="0">
                  <c:v>撰写商业计划书</c:v>
                </c:pt>
                <c:pt idx="1">
                  <c:v>寻找资金支持</c:v>
                </c:pt>
                <c:pt idx="2">
                  <c:v>享受创业优惠政策</c:v>
                </c:pt>
                <c:pt idx="3">
                  <c:v>创业团队组建及管理</c:v>
                </c:pt>
                <c:pt idx="4">
                  <c:v>产品与服务营销</c:v>
                </c:pt>
                <c:pt idx="5">
                  <c:v>风险控制</c:v>
                </c:pt>
              </c:strCache>
            </c:strRef>
          </c:cat>
          <c:val>
            <c:numRef>
              <c:f>Sheet1!$B$2:$B$7</c:f>
              <c:numCache>
                <c:formatCode>0.00%</c:formatCode>
                <c:ptCount val="6"/>
                <c:pt idx="0">
                  <c:v>0.05</c:v>
                </c:pt>
                <c:pt idx="1">
                  <c:v>0.4</c:v>
                </c:pt>
                <c:pt idx="2">
                  <c:v>0.2</c:v>
                </c:pt>
                <c:pt idx="3">
                  <c:v>0.15</c:v>
                </c:pt>
                <c:pt idx="4">
                  <c:v>0.1</c:v>
                </c:pt>
                <c:pt idx="5">
                  <c:v>0.1</c:v>
                </c:pt>
              </c:numCache>
            </c:numRef>
          </c:val>
          <c:smooth val="0"/>
        </c:ser>
        <c:dLbls>
          <c:showLegendKey val="0"/>
          <c:showVal val="1"/>
          <c:showCatName val="0"/>
          <c:showSerName val="0"/>
          <c:showPercent val="0"/>
          <c:showBubbleSize val="0"/>
        </c:dLbls>
        <c:marker val="1"/>
        <c:smooth val="0"/>
        <c:axId val="420120448"/>
        <c:axId val="420238080"/>
      </c:lineChart>
      <c:catAx>
        <c:axId val="4201204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420238080"/>
        <c:crosses val="autoZero"/>
        <c:auto val="1"/>
        <c:lblAlgn val="ctr"/>
        <c:lblOffset val="100"/>
        <c:tickLblSkip val="1"/>
        <c:noMultiLvlLbl val="0"/>
      </c:catAx>
      <c:valAx>
        <c:axId val="4202380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0%"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20120448"/>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10734463276838"/>
          <c:y val="0.0547263681592041"/>
          <c:w val="0.953528328824055"/>
          <c:h val="0.608090748313116"/>
        </c:manualLayout>
      </c:layout>
      <c:lineChart>
        <c:grouping val="standard"/>
        <c:varyColors val="0"/>
        <c:ser>
          <c:idx val="0"/>
          <c:order val="0"/>
          <c:tx>
            <c:strRef>
              <c:f>Sheet1!$B$1</c:f>
              <c:strCache>
                <c:ptCount val="1"/>
                <c:pt idx="0">
                  <c:v/>
                </c:pt>
              </c:strCache>
            </c:strRef>
          </c:tx>
          <c:spPr>
            <a:ln w="31750" cap="rnd" cmpd="sng" algn="ctr">
              <a:solidFill>
                <a:schemeClr val="accent5"/>
              </a:solidFill>
              <a:prstDash val="solid"/>
              <a:round/>
            </a:ln>
            <a:effectLst/>
          </c:spPr>
          <c:marker>
            <c:symbol val="circle"/>
            <c:size val="17"/>
            <c:spPr>
              <a:solidFill>
                <a:schemeClr val="accent5"/>
              </a:solidFill>
              <a:ln w="9525" cap="flat" cmpd="sng" algn="ctr">
                <a:noFill/>
                <a:prstDash val="solid"/>
                <a:round/>
              </a:ln>
              <a:effectLst/>
            </c:spPr>
          </c:marker>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Sheet1!$A$2:$A$13</c:f>
              <c:strCache>
                <c:ptCount val="12"/>
                <c:pt idx="0">
                  <c:v>表演</c:v>
                </c:pt>
                <c:pt idx="1">
                  <c:v>表演（戏剧影视表演）</c:v>
                </c:pt>
                <c:pt idx="2">
                  <c:v>表演（音乐剧）</c:v>
                </c:pt>
                <c:pt idx="3">
                  <c:v>导演（演出制作）</c:v>
                </c:pt>
                <c:pt idx="4">
                  <c:v>导演（影视编导）</c:v>
                </c:pt>
                <c:pt idx="5">
                  <c:v>戏剧学(戏剧史论与批评)</c:v>
                </c:pt>
                <c:pt idx="6">
                  <c:v>戏剧影视导演</c:v>
                </c:pt>
                <c:pt idx="7">
                  <c:v>戏剧影视美术设计(舞台灯光)</c:v>
                </c:pt>
                <c:pt idx="8">
                  <c:v>戏剧影视美术设计(舞台服装)</c:v>
                </c:pt>
                <c:pt idx="9">
                  <c:v>戏剧影视美术设计(舞台化装)</c:v>
                </c:pt>
                <c:pt idx="10">
                  <c:v>戏剧影视美术设计(舞台技术)</c:v>
                </c:pt>
                <c:pt idx="11">
                  <c:v>戏剧影视文学(电视剧创作)</c:v>
                </c:pt>
              </c:strCache>
            </c:strRef>
          </c:cat>
          <c:val>
            <c:numRef>
              <c:f>Sheet1!$B$2:$B$13</c:f>
              <c:numCache>
                <c:formatCode>0.0_);[Red]\(0.0\)</c:formatCode>
                <c:ptCount val="12"/>
                <c:pt idx="0">
                  <c:v>3.58</c:v>
                </c:pt>
                <c:pt idx="1">
                  <c:v>4.71</c:v>
                </c:pt>
                <c:pt idx="2">
                  <c:v>4</c:v>
                </c:pt>
                <c:pt idx="3">
                  <c:v>4</c:v>
                </c:pt>
                <c:pt idx="4">
                  <c:v>4</c:v>
                </c:pt>
                <c:pt idx="5">
                  <c:v>4.25</c:v>
                </c:pt>
                <c:pt idx="6">
                  <c:v>3.81</c:v>
                </c:pt>
                <c:pt idx="7">
                  <c:v>4</c:v>
                </c:pt>
                <c:pt idx="8">
                  <c:v>3.75</c:v>
                </c:pt>
                <c:pt idx="9">
                  <c:v>3.82</c:v>
                </c:pt>
                <c:pt idx="10">
                  <c:v>4.13</c:v>
                </c:pt>
                <c:pt idx="11">
                  <c:v>4.18</c:v>
                </c:pt>
              </c:numCache>
            </c:numRef>
          </c:val>
          <c:smooth val="0"/>
        </c:ser>
        <c:dLbls>
          <c:showLegendKey val="0"/>
          <c:showVal val="1"/>
          <c:showCatName val="0"/>
          <c:showSerName val="0"/>
          <c:showPercent val="0"/>
          <c:showBubbleSize val="0"/>
        </c:dLbls>
        <c:marker val="1"/>
        <c:smooth val="0"/>
        <c:axId val="339956864"/>
        <c:axId val="340004864"/>
      </c:lineChart>
      <c:catAx>
        <c:axId val="3399568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40004864"/>
        <c:crosses val="autoZero"/>
        <c:auto val="1"/>
        <c:lblAlgn val="ctr"/>
        <c:lblOffset val="100"/>
        <c:tickLblSkip val="1"/>
        <c:noMultiLvlLbl val="0"/>
      </c:catAx>
      <c:valAx>
        <c:axId val="3400048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_);[Red]\(0.0\)"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39956864"/>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755711335456109"/>
          <c:y val="0.0251858014240174"/>
          <c:w val="0.91606940981907"/>
          <c:h val="0.862654721961763"/>
        </c:manualLayout>
      </c:layout>
      <c:barChart>
        <c:barDir val="col"/>
        <c:grouping val="clustered"/>
        <c:varyColors val="0"/>
        <c:ser>
          <c:idx val="0"/>
          <c:order val="0"/>
          <c:tx>
            <c:strRef>
              <c:f>Sheet1!$B$1</c:f>
              <c:strCache>
                <c:ptCount val="1"/>
                <c:pt idx="0">
                  <c:v/>
                </c:pt>
              </c:strCache>
            </c:strRef>
          </c:tx>
          <c:spPr>
            <a:solidFill>
              <a:schemeClr val="accent5">
                <a:alpha val="80000"/>
              </a:schemeClr>
            </a:solidFill>
            <a:ln>
              <a:noFill/>
            </a:ln>
            <a:effectLst/>
          </c:spPr>
          <c:invertIfNegative val="0"/>
          <c:dPt>
            <c:idx val="0"/>
            <c:invertIfNegative val="0"/>
            <c:bubble3D val="0"/>
            <c:spPr>
              <a:solidFill>
                <a:srgbClr val="358DA5">
                  <a:alpha val="80000"/>
                </a:srgbClr>
              </a:solidFill>
              <a:ln>
                <a:noFill/>
              </a:ln>
              <a:effectLst/>
            </c:spPr>
          </c:dPt>
          <c:dPt>
            <c:idx val="1"/>
            <c:invertIfNegative val="0"/>
            <c:bubble3D val="0"/>
            <c:spPr>
              <a:solidFill>
                <a:srgbClr val="358DA5">
                  <a:alpha val="80000"/>
                </a:srgbClr>
              </a:solidFill>
              <a:ln>
                <a:noFill/>
              </a:ln>
              <a:effectLst/>
            </c:spPr>
          </c:dPt>
          <c:dPt>
            <c:idx val="3"/>
            <c:invertIfNegative val="0"/>
            <c:bubble3D val="0"/>
            <c:spPr>
              <a:solidFill>
                <a:schemeClr val="accent5">
                  <a:lumMod val="60000"/>
                  <a:lumOff val="40000"/>
                  <a:alpha val="80000"/>
                </a:schemeClr>
              </a:solidFill>
              <a:ln>
                <a:noFill/>
              </a:ln>
              <a:effectLst/>
            </c:spPr>
          </c:dPt>
          <c:dPt>
            <c:idx val="4"/>
            <c:invertIfNegative val="0"/>
            <c:bubble3D val="0"/>
            <c:spPr>
              <a:solidFill>
                <a:schemeClr val="accent5">
                  <a:lumMod val="60000"/>
                  <a:lumOff val="40000"/>
                  <a:alpha val="80000"/>
                </a:schemeClr>
              </a:solidFill>
              <a:ln>
                <a:noFill/>
              </a:ln>
              <a:effectLst/>
            </c:spPr>
          </c:dPt>
          <c:dLbls>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0"/>
                <c15:leaderLines/>
              </c:ext>
            </c:extLst>
          </c:dLbls>
          <c:cat>
            <c:strRef>
              <c:f>Sheet1!$A$2:$A$6</c:f>
              <c:strCache>
                <c:ptCount val="5"/>
                <c:pt idx="0">
                  <c:v>很满意</c:v>
                </c:pt>
                <c:pt idx="1">
                  <c:v>满意</c:v>
                </c:pt>
                <c:pt idx="2">
                  <c:v>不好说</c:v>
                </c:pt>
                <c:pt idx="3">
                  <c:v>不满意</c:v>
                </c:pt>
                <c:pt idx="4">
                  <c:v>很不满意</c:v>
                </c:pt>
              </c:strCache>
            </c:strRef>
          </c:cat>
          <c:val>
            <c:numRef>
              <c:f>Sheet1!$B$2:$B$6</c:f>
              <c:numCache>
                <c:formatCode>0.0%</c:formatCode>
                <c:ptCount val="5"/>
                <c:pt idx="0">
                  <c:v>0.4489</c:v>
                </c:pt>
                <c:pt idx="1">
                  <c:v>0.4453</c:v>
                </c:pt>
                <c:pt idx="2">
                  <c:v>0.0949</c:v>
                </c:pt>
                <c:pt idx="3">
                  <c:v>0.00360000000000001</c:v>
                </c:pt>
                <c:pt idx="4">
                  <c:v>0.00730000000000001</c:v>
                </c:pt>
              </c:numCache>
            </c:numRef>
          </c:val>
          <c:extLst>
            <c:ext xmlns:c15="http://schemas.microsoft.com/office/drawing/2012/chart" uri="{02D57815-91ED-43cb-92C2-25804820EDAC}">
              <c15:datalabelsRange>
                <c15:f>Sheet1!$C$2:$C$6</c15:f>
                <c15:dlblRangeCache>
                  <c:ptCount val="5"/>
                </c15:dlblRangeCache>
              </c15:datalabelsRange>
            </c:ext>
          </c:extLst>
        </c:ser>
        <c:dLbls>
          <c:showLegendKey val="0"/>
          <c:showVal val="0"/>
          <c:showCatName val="0"/>
          <c:showSerName val="0"/>
          <c:showPercent val="0"/>
          <c:showBubbleSize val="0"/>
        </c:dLbls>
        <c:gapWidth val="182"/>
        <c:axId val="340057088"/>
        <c:axId val="344068864"/>
      </c:barChart>
      <c:catAx>
        <c:axId val="34005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44068864"/>
        <c:crosses val="autoZero"/>
        <c:auto val="1"/>
        <c:lblAlgn val="ctr"/>
        <c:lblOffset val="100"/>
        <c:noMultiLvlLbl val="0"/>
      </c:catAx>
      <c:valAx>
        <c:axId val="344068864"/>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40057088"/>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ln>
            <a:noFill/>
          </a:ln>
        </a:defRPr>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10734463276838"/>
          <c:y val="0.0547263681592041"/>
          <c:w val="0.953528328824055"/>
          <c:h val="0.608090748313116"/>
        </c:manualLayout>
      </c:layout>
      <c:lineChart>
        <c:grouping val="standard"/>
        <c:varyColors val="0"/>
        <c:ser>
          <c:idx val="0"/>
          <c:order val="0"/>
          <c:tx>
            <c:strRef>
              <c:f>Sheet1!$B$1</c:f>
              <c:strCache>
                <c:ptCount val="1"/>
                <c:pt idx="0">
                  <c:v/>
                </c:pt>
              </c:strCache>
            </c:strRef>
          </c:tx>
          <c:spPr>
            <a:ln w="31750" cap="rnd" cmpd="sng" algn="ctr">
              <a:solidFill>
                <a:schemeClr val="accent5"/>
              </a:solidFill>
              <a:prstDash val="solid"/>
              <a:round/>
            </a:ln>
            <a:effectLst/>
          </c:spPr>
          <c:marker>
            <c:symbol val="circle"/>
            <c:size val="17"/>
            <c:spPr>
              <a:solidFill>
                <a:schemeClr val="accent5"/>
              </a:solidFill>
              <a:ln w="9525" cap="flat" cmpd="sng" algn="ctr">
                <a:noFill/>
                <a:prstDash val="solid"/>
                <a:round/>
              </a:ln>
              <a:effectLst/>
            </c:spPr>
          </c:marker>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Sheet1!$A$2:$A$13</c:f>
              <c:strCache>
                <c:ptCount val="12"/>
                <c:pt idx="0">
                  <c:v>表演</c:v>
                </c:pt>
                <c:pt idx="1">
                  <c:v>表演（戏剧影视表演）</c:v>
                </c:pt>
                <c:pt idx="2">
                  <c:v>表演（音乐剧）</c:v>
                </c:pt>
                <c:pt idx="3">
                  <c:v>导演（演出制作）</c:v>
                </c:pt>
                <c:pt idx="4">
                  <c:v>导演（影视编导）</c:v>
                </c:pt>
                <c:pt idx="5">
                  <c:v>戏剧学(戏剧史论与批评)</c:v>
                </c:pt>
                <c:pt idx="6">
                  <c:v>戏剧影视导演</c:v>
                </c:pt>
                <c:pt idx="7">
                  <c:v>戏剧影视美术设计(舞台灯光)</c:v>
                </c:pt>
                <c:pt idx="8">
                  <c:v>戏剧影视美术设计(舞台服装)</c:v>
                </c:pt>
                <c:pt idx="9">
                  <c:v>戏剧影视美术设计(舞台化装)</c:v>
                </c:pt>
                <c:pt idx="10">
                  <c:v>戏剧影视美术设计(舞台技术)</c:v>
                </c:pt>
                <c:pt idx="11">
                  <c:v>戏剧影视文学(电视剧创作)</c:v>
                </c:pt>
              </c:strCache>
            </c:strRef>
          </c:cat>
          <c:val>
            <c:numRef>
              <c:f>Sheet1!$B$2:$B$13</c:f>
              <c:numCache>
                <c:formatCode>0.0_);[Red]\(0.0\)</c:formatCode>
                <c:ptCount val="12"/>
                <c:pt idx="0">
                  <c:v>4.37</c:v>
                </c:pt>
                <c:pt idx="1">
                  <c:v>4.84</c:v>
                </c:pt>
                <c:pt idx="2">
                  <c:v>4.2</c:v>
                </c:pt>
                <c:pt idx="3">
                  <c:v>4</c:v>
                </c:pt>
                <c:pt idx="4">
                  <c:v>4.33</c:v>
                </c:pt>
                <c:pt idx="5">
                  <c:v>4.59</c:v>
                </c:pt>
                <c:pt idx="6">
                  <c:v>4.02</c:v>
                </c:pt>
                <c:pt idx="7">
                  <c:v>4.46</c:v>
                </c:pt>
                <c:pt idx="8">
                  <c:v>4.31</c:v>
                </c:pt>
                <c:pt idx="9">
                  <c:v>4.29</c:v>
                </c:pt>
                <c:pt idx="10">
                  <c:v>4.31</c:v>
                </c:pt>
                <c:pt idx="11">
                  <c:v>4.18</c:v>
                </c:pt>
              </c:numCache>
            </c:numRef>
          </c:val>
          <c:smooth val="0"/>
        </c:ser>
        <c:dLbls>
          <c:showLegendKey val="0"/>
          <c:showVal val="1"/>
          <c:showCatName val="0"/>
          <c:showSerName val="0"/>
          <c:showPercent val="0"/>
          <c:showBubbleSize val="0"/>
        </c:dLbls>
        <c:marker val="1"/>
        <c:smooth val="0"/>
        <c:axId val="340053376"/>
        <c:axId val="344111360"/>
      </c:lineChart>
      <c:catAx>
        <c:axId val="3400533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44111360"/>
        <c:crosses val="autoZero"/>
        <c:auto val="1"/>
        <c:lblAlgn val="ctr"/>
        <c:lblOffset val="100"/>
        <c:tickLblSkip val="1"/>
        <c:noMultiLvlLbl val="0"/>
      </c:catAx>
      <c:valAx>
        <c:axId val="3441113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_);[Red]\(0.0\)"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40053376"/>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593673447069119"/>
          <c:y val="0.0251859142607174"/>
          <c:w val="0.91606940981907"/>
          <c:h val="0.857855474257449"/>
        </c:manualLayout>
      </c:layout>
      <c:barChart>
        <c:barDir val="col"/>
        <c:grouping val="clustered"/>
        <c:varyColors val="0"/>
        <c:ser>
          <c:idx val="0"/>
          <c:order val="0"/>
          <c:tx>
            <c:strRef>
              <c:f>Sheet1!$A$2</c:f>
              <c:strCache>
                <c:ptCount val="1"/>
                <c:pt idx="0">
                  <c:v>专业知识</c:v>
                </c:pt>
              </c:strCache>
            </c:strRef>
          </c:tx>
          <c:spPr>
            <a:solidFill>
              <a:schemeClr val="accent5">
                <a:alpha val="85000"/>
              </a:schemeClr>
            </a:solidFill>
            <a:ln w="9525" cap="flat" cmpd="sng" algn="ctr">
              <a:solidFill>
                <a:schemeClr val="lt1">
                  <a:alpha val="50000"/>
                </a:schemeClr>
              </a:solidFill>
              <a:round/>
            </a:ln>
            <a:effectLst/>
          </c:spPr>
          <c:invertIfNegative val="0"/>
          <c:dLbls>
            <c:dLbl>
              <c:idx val="4"/>
              <c:layout>
                <c:manualLayout>
                  <c:x val="-0.00240789790512882"/>
                  <c:y val="0.016379013618896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Sheet1!$B$1:$F$1</c:f>
              <c:strCache>
                <c:ptCount val="5"/>
                <c:pt idx="0">
                  <c:v>很多</c:v>
                </c:pt>
                <c:pt idx="1">
                  <c:v>多</c:v>
                </c:pt>
                <c:pt idx="2">
                  <c:v>不好说</c:v>
                </c:pt>
                <c:pt idx="3">
                  <c:v>少</c:v>
                </c:pt>
                <c:pt idx="4">
                  <c:v>很少</c:v>
                </c:pt>
              </c:strCache>
            </c:strRef>
          </c:cat>
          <c:val>
            <c:numRef>
              <c:f>Sheet1!$B$2:$F$2</c:f>
              <c:numCache>
                <c:formatCode>0.0%</c:formatCode>
                <c:ptCount val="5"/>
                <c:pt idx="0">
                  <c:v>0.2956</c:v>
                </c:pt>
                <c:pt idx="1">
                  <c:v>0.408800000000001</c:v>
                </c:pt>
                <c:pt idx="2" c:formatCode="0.00%">
                  <c:v>0.2336</c:v>
                </c:pt>
                <c:pt idx="3" c:formatCode="0.00%">
                  <c:v>0.0511</c:v>
                </c:pt>
                <c:pt idx="4" c:formatCode="0.00%">
                  <c:v>0.0109</c:v>
                </c:pt>
              </c:numCache>
            </c:numRef>
          </c:val>
        </c:ser>
        <c:ser>
          <c:idx val="1"/>
          <c:order val="1"/>
          <c:tx>
            <c:strRef>
              <c:f>Sheet1!$A$3</c:f>
              <c:strCache>
                <c:ptCount val="1"/>
                <c:pt idx="0">
                  <c:v>专业技能</c:v>
                </c:pt>
              </c:strCache>
            </c:strRef>
          </c:tx>
          <c:spPr>
            <a:solidFill>
              <a:schemeClr val="accent5">
                <a:tint val="77000"/>
                <a:alpha val="85000"/>
              </a:scheme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Sheet1!$B$1:$F$1</c:f>
              <c:strCache>
                <c:ptCount val="5"/>
                <c:pt idx="0">
                  <c:v>很多</c:v>
                </c:pt>
                <c:pt idx="1">
                  <c:v>多</c:v>
                </c:pt>
                <c:pt idx="2">
                  <c:v>不好说</c:v>
                </c:pt>
                <c:pt idx="3">
                  <c:v>少</c:v>
                </c:pt>
                <c:pt idx="4">
                  <c:v>很少</c:v>
                </c:pt>
              </c:strCache>
            </c:strRef>
          </c:cat>
          <c:val>
            <c:numRef>
              <c:f>Sheet1!$B$3:$F$3</c:f>
              <c:numCache>
                <c:formatCode>0.0%</c:formatCode>
                <c:ptCount val="5"/>
                <c:pt idx="0">
                  <c:v>0.2956</c:v>
                </c:pt>
                <c:pt idx="1">
                  <c:v>0.408800000000001</c:v>
                </c:pt>
                <c:pt idx="2" c:formatCode="0.00%">
                  <c:v>0.219</c:v>
                </c:pt>
                <c:pt idx="3" c:formatCode="0.00%">
                  <c:v>0.0657</c:v>
                </c:pt>
                <c:pt idx="4" c:formatCode="0.00%">
                  <c:v>0.0109</c:v>
                </c:pt>
              </c:numCache>
            </c:numRef>
          </c:val>
        </c:ser>
        <c:dLbls>
          <c:showLegendKey val="0"/>
          <c:showVal val="1"/>
          <c:showCatName val="0"/>
          <c:showSerName val="0"/>
          <c:showPercent val="0"/>
          <c:showBubbleSize val="0"/>
        </c:dLbls>
        <c:gapWidth val="65"/>
        <c:axId val="356114816"/>
        <c:axId val="356116352"/>
      </c:barChart>
      <c:catAx>
        <c:axId val="3561148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56116352"/>
        <c:crosses val="autoZero"/>
        <c:auto val="1"/>
        <c:lblAlgn val="ctr"/>
        <c:lblOffset val="100"/>
        <c:noMultiLvlLbl val="0"/>
      </c:catAx>
      <c:valAx>
        <c:axId val="3561163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 sourceLinked="0"/>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56114816"/>
        <c:crosses val="autoZero"/>
        <c:crossBetween val="between"/>
      </c:valAx>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334813463751658"/>
          <c:y val="0.0149570287607467"/>
          <c:w val="0.934265091863517"/>
          <c:h val="0.642916648251721"/>
        </c:manualLayout>
      </c:layout>
      <c:lineChart>
        <c:grouping val="standard"/>
        <c:varyColors val="0"/>
        <c:ser>
          <c:idx val="0"/>
          <c:order val="0"/>
          <c:tx>
            <c:strRef>
              <c:f>Sheet1!$A$2</c:f>
              <c:strCache>
                <c:ptCount val="1"/>
                <c:pt idx="0">
                  <c:v>所学专业知识满足工作需要的程度</c:v>
                </c:pt>
              </c:strCache>
            </c:strRef>
          </c:tx>
          <c:spPr>
            <a:ln w="31750" cap="rnd" cmpd="sng" algn="ctr">
              <a:solidFill>
                <a:schemeClr val="accent5">
                  <a:shade val="76000"/>
                </a:schemeClr>
              </a:solidFill>
              <a:prstDash val="solid"/>
              <a:round/>
            </a:ln>
            <a:effectLst/>
          </c:spPr>
          <c:marker>
            <c:symbol val="circle"/>
            <c:size val="17"/>
            <c:spPr>
              <a:solidFill>
                <a:schemeClr val="accent5">
                  <a:shade val="76000"/>
                </a:schemeClr>
              </a:solidFill>
              <a:ln w="9525" cap="flat" cmpd="sng" algn="ctr">
                <a:noFill/>
                <a:prstDash val="solid"/>
                <a:round/>
              </a:ln>
              <a:effectLst/>
            </c:spPr>
          </c:marker>
          <c:dLbls>
            <c:dLbl>
              <c:idx val="0"/>
              <c:layout>
                <c:manualLayout>
                  <c:x val="-0.0558706643591647"/>
                  <c:y val="0.013045170872906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58706643591647"/>
                  <c:y val="0.013045170872906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58706643591647"/>
                  <c:y val="-0.013045170872906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558706643591647"/>
                  <c:y val="-0.017393561163875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558706643591647"/>
                  <c:y val="-0.017393561163875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558706643591647"/>
                  <c:y val="0.0086967805819378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558706643591648"/>
                  <c:y val="0.0086967805819379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558706643591647"/>
                  <c:y val="-0.017393561163875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558706643591647"/>
                  <c:y val="0.013045170872906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0438128737688704"/>
                  <c:y val="-0.017393561163875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Sheet1!$B$1:$M$1</c:f>
              <c:strCache>
                <c:ptCount val="12"/>
                <c:pt idx="0">
                  <c:v>表演</c:v>
                </c:pt>
                <c:pt idx="1">
                  <c:v>表演（戏剧影视表演）</c:v>
                </c:pt>
                <c:pt idx="2">
                  <c:v>表演（音乐剧）</c:v>
                </c:pt>
                <c:pt idx="3">
                  <c:v>导演（演出制作）</c:v>
                </c:pt>
                <c:pt idx="4">
                  <c:v>导演（影视编导）</c:v>
                </c:pt>
                <c:pt idx="5">
                  <c:v>戏剧学(戏剧史论与批评)</c:v>
                </c:pt>
                <c:pt idx="6">
                  <c:v>戏剧影视导演</c:v>
                </c:pt>
                <c:pt idx="7">
                  <c:v>戏剧影视美术设计(舞台灯光)</c:v>
                </c:pt>
                <c:pt idx="8">
                  <c:v>戏剧影视美术设计(舞台服装)</c:v>
                </c:pt>
                <c:pt idx="9">
                  <c:v>戏剧影视美术设计(舞台化装)</c:v>
                </c:pt>
                <c:pt idx="10">
                  <c:v>戏剧影视美术设计(舞台技术)</c:v>
                </c:pt>
                <c:pt idx="11">
                  <c:v>戏剧影视文学(电视剧创作)</c:v>
                </c:pt>
              </c:strCache>
            </c:strRef>
          </c:cat>
          <c:val>
            <c:numRef>
              <c:f>Sheet1!$B$2:$M$2</c:f>
              <c:numCache>
                <c:formatCode>0.0_);[Red]\(0.0\)</c:formatCode>
                <c:ptCount val="12"/>
                <c:pt idx="0">
                  <c:v>3.63</c:v>
                </c:pt>
                <c:pt idx="1">
                  <c:v>4.45</c:v>
                </c:pt>
                <c:pt idx="2" c:formatCode="General">
                  <c:v>3.96</c:v>
                </c:pt>
                <c:pt idx="3" c:formatCode="General">
                  <c:v>4</c:v>
                </c:pt>
                <c:pt idx="4" c:formatCode="General">
                  <c:v>4</c:v>
                </c:pt>
                <c:pt idx="5" c:formatCode="General">
                  <c:v>4</c:v>
                </c:pt>
                <c:pt idx="6" c:formatCode="General">
                  <c:v>3.7</c:v>
                </c:pt>
                <c:pt idx="7" c:formatCode="General">
                  <c:v>3.92</c:v>
                </c:pt>
                <c:pt idx="8" c:formatCode="General">
                  <c:v>3.44</c:v>
                </c:pt>
                <c:pt idx="9" c:formatCode="General">
                  <c:v>4.18</c:v>
                </c:pt>
                <c:pt idx="10" c:formatCode="General">
                  <c:v>4.13</c:v>
                </c:pt>
                <c:pt idx="11" c:formatCode="General">
                  <c:v>4.09</c:v>
                </c:pt>
              </c:numCache>
            </c:numRef>
          </c:val>
          <c:smooth val="0"/>
        </c:ser>
        <c:ser>
          <c:idx val="1"/>
          <c:order val="1"/>
          <c:tx>
            <c:strRef>
              <c:f>Sheet1!$A$3</c:f>
              <c:strCache>
                <c:ptCount val="1"/>
                <c:pt idx="0">
                  <c:v>所学专业技能满足工作需要的程度</c:v>
                </c:pt>
              </c:strCache>
            </c:strRef>
          </c:tx>
          <c:spPr>
            <a:ln w="31750" cap="rnd" cmpd="sng" algn="ctr">
              <a:solidFill>
                <a:schemeClr val="accent5">
                  <a:tint val="77000"/>
                </a:schemeClr>
              </a:solidFill>
              <a:prstDash val="solid"/>
              <a:round/>
            </a:ln>
            <a:effectLst/>
          </c:spPr>
          <c:marker>
            <c:symbol val="circle"/>
            <c:size val="17"/>
            <c:spPr>
              <a:solidFill>
                <a:schemeClr val="accent5">
                  <a:tint val="77000"/>
                </a:schemeClr>
              </a:solidFill>
              <a:ln w="9525" cap="flat" cmpd="sng" algn="ctr">
                <a:noFill/>
                <a:prstDash val="solid"/>
                <a:round/>
              </a:ln>
              <a:effectLst/>
            </c:spPr>
          </c:marker>
          <c:dLbls>
            <c:dLbl>
              <c:idx val="0"/>
              <c:layout>
                <c:manualLayout>
                  <c:x val="-0.0558706643591647"/>
                  <c:y val="-0.0086967805819378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58706643591647"/>
                  <c:y val="-0.02609034174581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58706643591647"/>
                  <c:y val="0.017393561163875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558706643591647"/>
                  <c:y val="0.013045170872906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558706643591647"/>
                  <c:y val="0.013045170872906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558706643591647"/>
                  <c:y val="-0.013045170872906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558706643591648"/>
                  <c:y val="-0.013045170872906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558706643591647"/>
                  <c:y val="0.013045170872906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558706643591647"/>
                  <c:y val="-0.017393561163875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0438128737688704"/>
                  <c:y val="0.013045170872906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Sheet1!$B$1:$M$1</c:f>
              <c:strCache>
                <c:ptCount val="12"/>
                <c:pt idx="0">
                  <c:v>表演</c:v>
                </c:pt>
                <c:pt idx="1">
                  <c:v>表演（戏剧影视表演）</c:v>
                </c:pt>
                <c:pt idx="2">
                  <c:v>表演（音乐剧）</c:v>
                </c:pt>
                <c:pt idx="3">
                  <c:v>导演（演出制作）</c:v>
                </c:pt>
                <c:pt idx="4">
                  <c:v>导演（影视编导）</c:v>
                </c:pt>
                <c:pt idx="5">
                  <c:v>戏剧学(戏剧史论与批评)</c:v>
                </c:pt>
                <c:pt idx="6">
                  <c:v>戏剧影视导演</c:v>
                </c:pt>
                <c:pt idx="7">
                  <c:v>戏剧影视美术设计(舞台灯光)</c:v>
                </c:pt>
                <c:pt idx="8">
                  <c:v>戏剧影视美术设计(舞台服装)</c:v>
                </c:pt>
                <c:pt idx="9">
                  <c:v>戏剧影视美术设计(舞台化装)</c:v>
                </c:pt>
                <c:pt idx="10">
                  <c:v>戏剧影视美术设计(舞台技术)</c:v>
                </c:pt>
                <c:pt idx="11">
                  <c:v>戏剧影视文学(电视剧创作)</c:v>
                </c:pt>
              </c:strCache>
            </c:strRef>
          </c:cat>
          <c:val>
            <c:numRef>
              <c:f>Sheet1!$B$3:$M$3</c:f>
              <c:numCache>
                <c:formatCode>0.0_);[Red]\(0.0\)</c:formatCode>
                <c:ptCount val="12"/>
                <c:pt idx="0">
                  <c:v>3.84</c:v>
                </c:pt>
                <c:pt idx="1">
                  <c:v>4.47</c:v>
                </c:pt>
                <c:pt idx="2" c:formatCode="General">
                  <c:v>3.88</c:v>
                </c:pt>
                <c:pt idx="3" c:formatCode="General">
                  <c:v>5</c:v>
                </c:pt>
                <c:pt idx="4" c:formatCode="General">
                  <c:v>4</c:v>
                </c:pt>
                <c:pt idx="5" c:formatCode="General">
                  <c:v>3.84</c:v>
                </c:pt>
                <c:pt idx="6" c:formatCode="General">
                  <c:v>3.63</c:v>
                </c:pt>
                <c:pt idx="7" c:formatCode="General">
                  <c:v>4.15</c:v>
                </c:pt>
                <c:pt idx="8" c:formatCode="General">
                  <c:v>3.63</c:v>
                </c:pt>
                <c:pt idx="9" c:formatCode="General">
                  <c:v>4</c:v>
                </c:pt>
                <c:pt idx="10" c:formatCode="General">
                  <c:v>4.25</c:v>
                </c:pt>
                <c:pt idx="11" c:formatCode="General">
                  <c:v>3.91</c:v>
                </c:pt>
              </c:numCache>
            </c:numRef>
          </c:val>
          <c:smooth val="0"/>
        </c:ser>
        <c:dLbls>
          <c:showLegendKey val="0"/>
          <c:showVal val="1"/>
          <c:showCatName val="0"/>
          <c:showSerName val="0"/>
          <c:showPercent val="0"/>
          <c:showBubbleSize val="0"/>
        </c:dLbls>
        <c:marker val="1"/>
        <c:smooth val="0"/>
        <c:axId val="356159488"/>
        <c:axId val="356161024"/>
      </c:lineChart>
      <c:catAx>
        <c:axId val="3561594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56161024"/>
        <c:crosses val="autoZero"/>
        <c:auto val="1"/>
        <c:lblAlgn val="ctr"/>
        <c:lblOffset val="100"/>
        <c:tickLblSkip val="1"/>
        <c:noMultiLvlLbl val="0"/>
      </c:catAx>
      <c:valAx>
        <c:axId val="3561610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_);[Red]\(0.0\)"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56159488"/>
        <c:crosses val="autoZero"/>
        <c:crossBetween val="between"/>
      </c:valAx>
      <c:spPr>
        <a:noFill/>
        <a:ln>
          <a:noFill/>
        </a:ln>
        <a:effectLst/>
      </c:spPr>
    </c:plotArea>
    <c:legend>
      <c:legendPos val="b"/>
      <c:layout>
        <c:manualLayout>
          <c:xMode val="edge"/>
          <c:yMode val="edge"/>
          <c:x val="0.0421822001361319"/>
          <c:y val="0.925142206697219"/>
          <c:w val="0.912593306043824"/>
          <c:h val="0.073437406838587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755711335456109"/>
          <c:y val="0.0251858014240174"/>
          <c:w val="0.91606940981907"/>
          <c:h val="0.862654721961763"/>
        </c:manualLayout>
      </c:layout>
      <c:barChart>
        <c:barDir val="col"/>
        <c:grouping val="clustered"/>
        <c:varyColors val="0"/>
        <c:ser>
          <c:idx val="0"/>
          <c:order val="0"/>
          <c:tx>
            <c:strRef>
              <c:f>Sheet1!$B$1</c:f>
              <c:strCache>
                <c:ptCount val="1"/>
                <c:pt idx="0">
                  <c:v/>
                </c:pt>
              </c:strCache>
            </c:strRef>
          </c:tx>
          <c:spPr>
            <a:solidFill>
              <a:schemeClr val="accent5">
                <a:alpha val="80000"/>
              </a:schemeClr>
            </a:solidFill>
            <a:ln>
              <a:noFill/>
            </a:ln>
            <a:effectLst/>
          </c:spPr>
          <c:invertIfNegative val="0"/>
          <c:dPt>
            <c:idx val="0"/>
            <c:invertIfNegative val="0"/>
            <c:bubble3D val="0"/>
            <c:spPr>
              <a:solidFill>
                <a:srgbClr val="358DA5">
                  <a:alpha val="80000"/>
                </a:srgbClr>
              </a:solidFill>
              <a:ln>
                <a:noFill/>
              </a:ln>
              <a:effectLst/>
            </c:spPr>
          </c:dPt>
          <c:dPt>
            <c:idx val="1"/>
            <c:invertIfNegative val="0"/>
            <c:bubble3D val="0"/>
            <c:spPr>
              <a:solidFill>
                <a:srgbClr val="358DA5">
                  <a:alpha val="80000"/>
                </a:srgbClr>
              </a:solidFill>
              <a:ln>
                <a:noFill/>
              </a:ln>
              <a:effectLst/>
            </c:spPr>
          </c:dPt>
          <c:dPt>
            <c:idx val="3"/>
            <c:invertIfNegative val="0"/>
            <c:bubble3D val="0"/>
            <c:spPr>
              <a:solidFill>
                <a:schemeClr val="accent5">
                  <a:lumMod val="60000"/>
                  <a:lumOff val="40000"/>
                  <a:alpha val="80000"/>
                </a:schemeClr>
              </a:solidFill>
              <a:ln>
                <a:noFill/>
              </a:ln>
              <a:effectLst/>
            </c:spPr>
          </c:dPt>
          <c:dPt>
            <c:idx val="4"/>
            <c:invertIfNegative val="0"/>
            <c:bubble3D val="0"/>
            <c:spPr>
              <a:solidFill>
                <a:schemeClr val="accent5">
                  <a:lumMod val="60000"/>
                  <a:lumOff val="40000"/>
                  <a:alpha val="80000"/>
                </a:schemeClr>
              </a:solidFill>
              <a:ln>
                <a:noFill/>
              </a:ln>
              <a:effectLst/>
            </c:spPr>
          </c:dPt>
          <c:dLbls>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0"/>
                <c15:leaderLines/>
              </c:ext>
            </c:extLst>
          </c:dLbls>
          <c:cat>
            <c:strRef>
              <c:f>Sheet1!$A$2:$A$6</c:f>
              <c:strCache>
                <c:ptCount val="5"/>
                <c:pt idx="0">
                  <c:v>很高</c:v>
                </c:pt>
                <c:pt idx="1">
                  <c:v>高</c:v>
                </c:pt>
                <c:pt idx="2">
                  <c:v>不好说</c:v>
                </c:pt>
                <c:pt idx="3">
                  <c:v>低</c:v>
                </c:pt>
                <c:pt idx="4">
                  <c:v>很低</c:v>
                </c:pt>
              </c:strCache>
            </c:strRef>
          </c:cat>
          <c:val>
            <c:numRef>
              <c:f>Sheet1!$B$2:$B$6</c:f>
              <c:numCache>
                <c:formatCode>0.0%</c:formatCode>
                <c:ptCount val="5"/>
                <c:pt idx="0">
                  <c:v>0.1825</c:v>
                </c:pt>
                <c:pt idx="1">
                  <c:v>0.4197</c:v>
                </c:pt>
                <c:pt idx="2">
                  <c:v>0.281</c:v>
                </c:pt>
                <c:pt idx="3">
                  <c:v>0.0876</c:v>
                </c:pt>
                <c:pt idx="4">
                  <c:v>0.0292</c:v>
                </c:pt>
              </c:numCache>
            </c:numRef>
          </c:val>
          <c:extLst>
            <c:ext xmlns:c15="http://schemas.microsoft.com/office/drawing/2012/chart" uri="{02D57815-91ED-43cb-92C2-25804820EDAC}">
              <c15:datalabelsRange>
                <c15:f>Sheet1!$C$2:$C$6</c15:f>
                <c15:dlblRangeCache>
                  <c:ptCount val="5"/>
                </c15:dlblRangeCache>
              </c15:datalabelsRange>
            </c:ext>
          </c:extLst>
        </c:ser>
        <c:dLbls>
          <c:showLegendKey val="0"/>
          <c:showVal val="0"/>
          <c:showCatName val="0"/>
          <c:showSerName val="0"/>
          <c:showPercent val="0"/>
          <c:showBubbleSize val="0"/>
        </c:dLbls>
        <c:gapWidth val="182"/>
        <c:axId val="356242560"/>
        <c:axId val="356244096"/>
      </c:barChart>
      <c:catAx>
        <c:axId val="35624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56244096"/>
        <c:crosses val="autoZero"/>
        <c:auto val="1"/>
        <c:lblAlgn val="ctr"/>
        <c:lblOffset val="100"/>
        <c:noMultiLvlLbl val="0"/>
      </c:catAx>
      <c:valAx>
        <c:axId val="356244096"/>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56242560"/>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ln>
            <a:noFill/>
          </a:ln>
        </a:defRPr>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10734463276838"/>
          <c:y val="0.0547263681592041"/>
          <c:w val="0.953528328824055"/>
          <c:h val="0.608090748313116"/>
        </c:manualLayout>
      </c:layout>
      <c:lineChart>
        <c:grouping val="standard"/>
        <c:varyColors val="0"/>
        <c:ser>
          <c:idx val="0"/>
          <c:order val="0"/>
          <c:tx>
            <c:strRef>
              <c:f>Sheet1!$B$1</c:f>
              <c:strCache>
                <c:ptCount val="1"/>
                <c:pt idx="0">
                  <c:v/>
                </c:pt>
              </c:strCache>
            </c:strRef>
          </c:tx>
          <c:spPr>
            <a:ln w="31750" cap="rnd" cmpd="sng" algn="ctr">
              <a:solidFill>
                <a:schemeClr val="accent5"/>
              </a:solidFill>
              <a:prstDash val="solid"/>
              <a:round/>
            </a:ln>
            <a:effectLst/>
          </c:spPr>
          <c:marker>
            <c:symbol val="circle"/>
            <c:size val="17"/>
            <c:spPr>
              <a:solidFill>
                <a:schemeClr val="accent5"/>
              </a:solidFill>
              <a:ln w="9525" cap="flat" cmpd="sng" algn="ctr">
                <a:noFill/>
                <a:prstDash val="solid"/>
                <a:round/>
              </a:ln>
              <a:effectLst/>
            </c:spPr>
          </c:marker>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Sheet1!$A$2:$A$13</c:f>
              <c:strCache>
                <c:ptCount val="12"/>
                <c:pt idx="0">
                  <c:v>表演</c:v>
                </c:pt>
                <c:pt idx="1">
                  <c:v>表演（戏剧影视表演）</c:v>
                </c:pt>
                <c:pt idx="2">
                  <c:v>表演（音乐剧）</c:v>
                </c:pt>
                <c:pt idx="3">
                  <c:v>导演（演出制作）</c:v>
                </c:pt>
                <c:pt idx="4">
                  <c:v>导演（影视编导）</c:v>
                </c:pt>
                <c:pt idx="5">
                  <c:v>戏剧学(戏剧史论与批评)</c:v>
                </c:pt>
                <c:pt idx="6">
                  <c:v>戏剧影视导演</c:v>
                </c:pt>
                <c:pt idx="7">
                  <c:v>戏剧影视美术设计(舞台灯光)</c:v>
                </c:pt>
                <c:pt idx="8">
                  <c:v>戏剧影视美术设计(舞台服装)</c:v>
                </c:pt>
                <c:pt idx="9">
                  <c:v>戏剧影视美术设计(舞台化装)</c:v>
                </c:pt>
                <c:pt idx="10">
                  <c:v>戏剧影视美术设计(舞台技术)</c:v>
                </c:pt>
                <c:pt idx="11">
                  <c:v>戏剧影视文学(电视剧创作)</c:v>
                </c:pt>
              </c:strCache>
            </c:strRef>
          </c:cat>
          <c:val>
            <c:numRef>
              <c:f>Sheet1!$B$2:$B$13</c:f>
              <c:numCache>
                <c:formatCode>0.0_);[Red]\(0.0\)</c:formatCode>
                <c:ptCount val="12"/>
                <c:pt idx="0">
                  <c:v>2.53</c:v>
                </c:pt>
                <c:pt idx="1">
                  <c:v>4.08</c:v>
                </c:pt>
                <c:pt idx="2">
                  <c:v>3.36</c:v>
                </c:pt>
                <c:pt idx="3">
                  <c:v>4</c:v>
                </c:pt>
                <c:pt idx="4">
                  <c:v>3.67</c:v>
                </c:pt>
                <c:pt idx="5">
                  <c:v>3.56</c:v>
                </c:pt>
                <c:pt idx="6">
                  <c:v>3.76</c:v>
                </c:pt>
                <c:pt idx="7">
                  <c:v>3.46</c:v>
                </c:pt>
                <c:pt idx="8">
                  <c:v>3.19</c:v>
                </c:pt>
                <c:pt idx="9">
                  <c:v>3.71</c:v>
                </c:pt>
                <c:pt idx="10">
                  <c:v>4.06</c:v>
                </c:pt>
                <c:pt idx="11">
                  <c:v>4.09</c:v>
                </c:pt>
              </c:numCache>
            </c:numRef>
          </c:val>
          <c:smooth val="0"/>
        </c:ser>
        <c:dLbls>
          <c:showLegendKey val="0"/>
          <c:showVal val="1"/>
          <c:showCatName val="0"/>
          <c:showSerName val="0"/>
          <c:showPercent val="0"/>
          <c:showBubbleSize val="0"/>
        </c:dLbls>
        <c:marker val="1"/>
        <c:smooth val="0"/>
        <c:axId val="356283904"/>
        <c:axId val="356290944"/>
      </c:lineChart>
      <c:catAx>
        <c:axId val="3562839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56290944"/>
        <c:crosses val="autoZero"/>
        <c:auto val="1"/>
        <c:lblAlgn val="ctr"/>
        <c:lblOffset val="100"/>
        <c:tickLblSkip val="1"/>
        <c:noMultiLvlLbl val="0"/>
      </c:catAx>
      <c:valAx>
        <c:axId val="3562909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_);[Red]\(0.0\)"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56283904"/>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c:f>
              <c:strCache>
                <c:ptCount val="1"/>
                <c:pt idx="0">
                  <c:v>本科生</c:v>
                </c:pt>
              </c:strCache>
            </c:strRef>
          </c:tx>
          <c:spPr>
            <a:effectLst/>
          </c:spPr>
          <c:dLbls>
            <c:delete val="1"/>
          </c:dLbls>
          <c:cat>
            <c:strRef>
              <c:f>Sheet1!$B$1:$J$1</c:f>
              <c:strCache>
                <c:ptCount val="9"/>
                <c:pt idx="0">
                  <c:v>北京</c:v>
                </c:pt>
                <c:pt idx="1">
                  <c:v>东北经济区</c:v>
                </c:pt>
                <c:pt idx="2">
                  <c:v>北部沿海经济区</c:v>
                </c:pt>
                <c:pt idx="3">
                  <c:v>东部沿海经济区</c:v>
                </c:pt>
                <c:pt idx="4">
                  <c:v>南部沿海经济区</c:v>
                </c:pt>
                <c:pt idx="5">
                  <c:v>黄河中游经济区</c:v>
                </c:pt>
                <c:pt idx="6">
                  <c:v>长江中游经济区</c:v>
                </c:pt>
                <c:pt idx="7">
                  <c:v>西南经济区</c:v>
                </c:pt>
                <c:pt idx="8">
                  <c:v>西北经济区</c:v>
                </c:pt>
              </c:strCache>
            </c:strRef>
          </c:cat>
          <c:val>
            <c:numRef>
              <c:f>Sheet1!$B$2:$J$2</c:f>
              <c:numCache>
                <c:formatCode>0.00%</c:formatCode>
                <c:ptCount val="9"/>
                <c:pt idx="0">
                  <c:v>0.6582</c:v>
                </c:pt>
                <c:pt idx="2">
                  <c:v>0.0364</c:v>
                </c:pt>
                <c:pt idx="3">
                  <c:v>0.1491</c:v>
                </c:pt>
                <c:pt idx="4">
                  <c:v>0.0764</c:v>
                </c:pt>
                <c:pt idx="5">
                  <c:v>0.0218</c:v>
                </c:pt>
                <c:pt idx="6">
                  <c:v>0.0182</c:v>
                </c:pt>
                <c:pt idx="7">
                  <c:v>0.0182</c:v>
                </c:pt>
                <c:pt idx="8">
                  <c:v>0.0218</c:v>
                </c:pt>
              </c:numCache>
            </c:numRef>
          </c:val>
          <c:smooth val="0"/>
        </c:ser>
        <c:ser>
          <c:idx val="1"/>
          <c:order val="1"/>
          <c:tx>
            <c:strRef>
              <c:f>Sheet1!$A$3</c:f>
              <c:strCache>
                <c:ptCount val="1"/>
                <c:pt idx="0">
                  <c:v>硕士生</c:v>
                </c:pt>
              </c:strCache>
            </c:strRef>
          </c:tx>
          <c:spPr>
            <a:ln w="28575" cap="rnd" cmpd="sng" algn="ctr">
              <a:solidFill>
                <a:schemeClr val="accent5">
                  <a:tint val="77000"/>
                  <a:shade val="95000"/>
                  <a:satMod val="105000"/>
                </a:schemeClr>
              </a:solidFill>
              <a:prstDash val="solid"/>
              <a:round/>
            </a:ln>
            <a:effectLst/>
          </c:spPr>
          <c:marker>
            <c:spPr>
              <a:solidFill>
                <a:schemeClr val="accent5">
                  <a:tint val="77000"/>
                </a:schemeClr>
              </a:solidFill>
              <a:ln w="9525" cap="flat" cmpd="sng" algn="ctr">
                <a:solidFill>
                  <a:schemeClr val="accent5">
                    <a:tint val="77000"/>
                    <a:shade val="95000"/>
                    <a:satMod val="105000"/>
                  </a:schemeClr>
                </a:solidFill>
                <a:prstDash val="solid"/>
                <a:round/>
              </a:ln>
              <a:effectLst/>
            </c:spPr>
          </c:marker>
          <c:dLbls>
            <c:delete val="1"/>
          </c:dLbls>
          <c:cat>
            <c:strRef>
              <c:f>Sheet1!$B$1:$J$1</c:f>
              <c:strCache>
                <c:ptCount val="9"/>
                <c:pt idx="0">
                  <c:v>北京</c:v>
                </c:pt>
                <c:pt idx="1">
                  <c:v>东北经济区</c:v>
                </c:pt>
                <c:pt idx="2">
                  <c:v>北部沿海经济区</c:v>
                </c:pt>
                <c:pt idx="3">
                  <c:v>东部沿海经济区</c:v>
                </c:pt>
                <c:pt idx="4">
                  <c:v>南部沿海经济区</c:v>
                </c:pt>
                <c:pt idx="5">
                  <c:v>黄河中游经济区</c:v>
                </c:pt>
                <c:pt idx="6">
                  <c:v>长江中游经济区</c:v>
                </c:pt>
                <c:pt idx="7">
                  <c:v>西南经济区</c:v>
                </c:pt>
                <c:pt idx="8">
                  <c:v>西北经济区</c:v>
                </c:pt>
              </c:strCache>
            </c:strRef>
          </c:cat>
          <c:val>
            <c:numRef>
              <c:f>Sheet1!$B$3:$J$3</c:f>
              <c:numCache>
                <c:formatCode>0.00%</c:formatCode>
                <c:ptCount val="9"/>
                <c:pt idx="0">
                  <c:v>0.675</c:v>
                </c:pt>
                <c:pt idx="2">
                  <c:v>0.075</c:v>
                </c:pt>
                <c:pt idx="3">
                  <c:v>0.1125</c:v>
                </c:pt>
                <c:pt idx="4">
                  <c:v>0.05</c:v>
                </c:pt>
                <c:pt idx="5">
                  <c:v>0.0375</c:v>
                </c:pt>
                <c:pt idx="6">
                  <c:v>0.0375</c:v>
                </c:pt>
                <c:pt idx="7">
                  <c:v>0.0125</c:v>
                </c:pt>
              </c:numCache>
            </c:numRef>
          </c:val>
          <c:smooth val="0"/>
        </c:ser>
        <c:ser>
          <c:idx val="2"/>
          <c:order val="2"/>
          <c:tx>
            <c:strRef>
              <c:f>Sheet1!$A$4</c:f>
              <c:strCache>
                <c:ptCount val="1"/>
                <c:pt idx="0">
                  <c:v>博士生</c:v>
                </c:pt>
              </c:strCache>
            </c:strRef>
          </c:tx>
          <c:dLbls>
            <c:delete val="1"/>
          </c:dLbls>
          <c:cat>
            <c:strRef>
              <c:f>Sheet1!$B$1:$J$1</c:f>
              <c:strCache>
                <c:ptCount val="9"/>
                <c:pt idx="0">
                  <c:v>北京</c:v>
                </c:pt>
                <c:pt idx="1">
                  <c:v>东北经济区</c:v>
                </c:pt>
                <c:pt idx="2">
                  <c:v>北部沿海经济区</c:v>
                </c:pt>
                <c:pt idx="3">
                  <c:v>东部沿海经济区</c:v>
                </c:pt>
                <c:pt idx="4">
                  <c:v>南部沿海经济区</c:v>
                </c:pt>
                <c:pt idx="5">
                  <c:v>黄河中游经济区</c:v>
                </c:pt>
                <c:pt idx="6">
                  <c:v>长江中游经济区</c:v>
                </c:pt>
                <c:pt idx="7">
                  <c:v>西南经济区</c:v>
                </c:pt>
                <c:pt idx="8">
                  <c:v>西北经济区</c:v>
                </c:pt>
              </c:strCache>
            </c:strRef>
          </c:cat>
          <c:val>
            <c:numRef>
              <c:f>Sheet1!$B$4:$J$4</c:f>
              <c:numCache>
                <c:formatCode>0.00%</c:formatCode>
                <c:ptCount val="9"/>
                <c:pt idx="0">
                  <c:v>0.55</c:v>
                </c:pt>
                <c:pt idx="1">
                  <c:v>0.05</c:v>
                </c:pt>
                <c:pt idx="3">
                  <c:v>0.1</c:v>
                </c:pt>
                <c:pt idx="4">
                  <c:v>0.2</c:v>
                </c:pt>
                <c:pt idx="5">
                  <c:v>0.05</c:v>
                </c:pt>
                <c:pt idx="7">
                  <c:v>0.05</c:v>
                </c:pt>
              </c:numCache>
            </c:numRef>
          </c:val>
          <c:smooth val="0"/>
        </c:ser>
        <c:ser>
          <c:idx val="3"/>
          <c:order val="3"/>
          <c:tx>
            <c:strRef>
              <c:f>Sheet1!$A$5</c:f>
              <c:strCache>
                <c:ptCount val="1"/>
                <c:pt idx="0">
                  <c:v>总体</c:v>
                </c:pt>
              </c:strCache>
            </c:strRef>
          </c:tx>
          <c:dLbls>
            <c:delete val="1"/>
          </c:dLbls>
          <c:cat>
            <c:strRef>
              <c:f>Sheet1!$B$1:$J$1</c:f>
              <c:strCache>
                <c:ptCount val="9"/>
                <c:pt idx="0">
                  <c:v>北京</c:v>
                </c:pt>
                <c:pt idx="1">
                  <c:v>东北经济区</c:v>
                </c:pt>
                <c:pt idx="2">
                  <c:v>北部沿海经济区</c:v>
                </c:pt>
                <c:pt idx="3">
                  <c:v>东部沿海经济区</c:v>
                </c:pt>
                <c:pt idx="4">
                  <c:v>南部沿海经济区</c:v>
                </c:pt>
                <c:pt idx="5">
                  <c:v>黄河中游经济区</c:v>
                </c:pt>
                <c:pt idx="6">
                  <c:v>长江中游经济区</c:v>
                </c:pt>
                <c:pt idx="7">
                  <c:v>西南经济区</c:v>
                </c:pt>
                <c:pt idx="8">
                  <c:v>西北经济区</c:v>
                </c:pt>
              </c:strCache>
            </c:strRef>
          </c:cat>
          <c:val>
            <c:numRef>
              <c:f>Sheet1!$B$5:$J$5</c:f>
              <c:numCache>
                <c:formatCode>0.00%</c:formatCode>
                <c:ptCount val="9"/>
                <c:pt idx="0">
                  <c:v>0.656</c:v>
                </c:pt>
                <c:pt idx="1">
                  <c:v>0.0027</c:v>
                </c:pt>
                <c:pt idx="2">
                  <c:v>0.0427</c:v>
                </c:pt>
                <c:pt idx="3">
                  <c:v>0.1387</c:v>
                </c:pt>
                <c:pt idx="4">
                  <c:v>0.0773</c:v>
                </c:pt>
                <c:pt idx="5">
                  <c:v>0.0267</c:v>
                </c:pt>
                <c:pt idx="6">
                  <c:v>0.0213</c:v>
                </c:pt>
                <c:pt idx="7">
                  <c:v>0.0187</c:v>
                </c:pt>
                <c:pt idx="8">
                  <c:v>0.016</c:v>
                </c:pt>
              </c:numCache>
            </c:numRef>
          </c:val>
          <c:smooth val="0"/>
        </c:ser>
        <c:dLbls>
          <c:showLegendKey val="0"/>
          <c:showVal val="0"/>
          <c:showCatName val="0"/>
          <c:showSerName val="0"/>
          <c:showPercent val="0"/>
          <c:showBubbleSize val="0"/>
        </c:dLbls>
        <c:marker val="1"/>
        <c:smooth val="0"/>
        <c:axId val="325663744"/>
        <c:axId val="325665536"/>
      </c:lineChart>
      <c:catAx>
        <c:axId val="32566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5665536"/>
        <c:crosses val="autoZero"/>
        <c:auto val="1"/>
        <c:lblAlgn val="ctr"/>
        <c:lblOffset val="100"/>
        <c:noMultiLvlLbl val="0"/>
      </c:catAx>
      <c:valAx>
        <c:axId val="325665536"/>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5663744"/>
        <c:crosses val="autoZero"/>
        <c:crossBetween val="between"/>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dTable>
      <c:spPr>
        <a:noFill/>
        <a:ln>
          <a:noFill/>
        </a:ln>
        <a:effectLst/>
      </c:spPr>
    </c:plotArea>
    <c:plotVisOnly val="1"/>
    <c:dispBlanksAs val="gap"/>
    <c:showDLblsOverMax val="0"/>
  </c:chart>
  <c:spPr>
    <a:no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576446345224"/>
          <c:y val="0.130262958703196"/>
          <c:w val="0.65122027259284"/>
          <c:h val="0.720732548880828"/>
        </c:manualLayout>
      </c:layout>
      <c:radarChart>
        <c:radarStyle val="filled"/>
        <c:varyColors val="0"/>
        <c:ser>
          <c:idx val="0"/>
          <c:order val="0"/>
          <c:tx>
            <c:strRef>
              <c:f>Sheet1!$B$1</c:f>
              <c:strCache>
                <c:ptCount val="1"/>
                <c:pt idx="0">
                  <c:v/>
                </c:pt>
              </c:strCache>
            </c:strRef>
          </c:tx>
          <c:spPr>
            <a:solidFill>
              <a:schemeClr val="accent5">
                <a:alpha val="50196"/>
              </a:schemeClr>
            </a:solidFill>
            <a:ln w="25400">
              <a:solidFill>
                <a:schemeClr val="accent5"/>
              </a:solidFill>
              <a:prstDash val="sysDot"/>
            </a:ln>
            <a:effectLst/>
          </c:spPr>
          <c:dLbls>
            <c:dLbl>
              <c:idx val="2"/>
              <c:layout>
                <c:manualLayout>
                  <c:x val="-0.04093426438719"/>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320197044334975"/>
                  <c:y val="-0.00359776938298258"/>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147783251231527"/>
                  <c:y val="0.03237992444684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25777358959967e-17"/>
                  <c:y val="0.039575463212808"/>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640394088669951"/>
                  <c:y val="0.0251843856808779"/>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0_);\(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Sheet1!$A$2:$A$11</c:f>
              <c:strCache>
                <c:ptCount val="10"/>
                <c:pt idx="0">
                  <c:v>通识性知识与技能</c:v>
                </c:pt>
                <c:pt idx="1">
                  <c:v>专业性知识与技能</c:v>
                </c:pt>
                <c:pt idx="2">
                  <c:v>学习能力</c:v>
                </c:pt>
                <c:pt idx="3">
                  <c:v>创新能力</c:v>
                </c:pt>
                <c:pt idx="4">
                  <c:v>沟通与表达能力</c:v>
                </c:pt>
                <c:pt idx="5">
                  <c:v>组织与管理能力</c:v>
                </c:pt>
                <c:pt idx="6">
                  <c:v>执行能力</c:v>
                </c:pt>
                <c:pt idx="7">
                  <c:v>自我管理能力</c:v>
                </c:pt>
                <c:pt idx="8">
                  <c:v>职业适应能力</c:v>
                </c:pt>
                <c:pt idx="9">
                  <c:v>职业规划能力</c:v>
                </c:pt>
              </c:strCache>
            </c:strRef>
          </c:cat>
          <c:val>
            <c:numRef>
              <c:f>Sheet1!$B$2:$B$11</c:f>
              <c:numCache>
                <c:formatCode>0.00_);[Red]\(0.00\)</c:formatCode>
                <c:ptCount val="10"/>
                <c:pt idx="0">
                  <c:v>4.22</c:v>
                </c:pt>
                <c:pt idx="1">
                  <c:v>4.24</c:v>
                </c:pt>
                <c:pt idx="2">
                  <c:v>4.26</c:v>
                </c:pt>
                <c:pt idx="3">
                  <c:v>4.14</c:v>
                </c:pt>
                <c:pt idx="4">
                  <c:v>4.27</c:v>
                </c:pt>
                <c:pt idx="5">
                  <c:v>4.14</c:v>
                </c:pt>
                <c:pt idx="6">
                  <c:v>4.28</c:v>
                </c:pt>
                <c:pt idx="7">
                  <c:v>4.23</c:v>
                </c:pt>
                <c:pt idx="8">
                  <c:v>4.18</c:v>
                </c:pt>
                <c:pt idx="9">
                  <c:v>4.09</c:v>
                </c:pt>
              </c:numCache>
            </c:numRef>
          </c:val>
        </c:ser>
        <c:dLbls>
          <c:showLegendKey val="0"/>
          <c:showVal val="1"/>
          <c:showCatName val="0"/>
          <c:showSerName val="0"/>
          <c:showPercent val="0"/>
          <c:showBubbleSize val="0"/>
        </c:dLbls>
        <c:axId val="356307712"/>
        <c:axId val="356310400"/>
      </c:radarChart>
      <c:catAx>
        <c:axId val="356307712"/>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6310400"/>
        <c:crosses val="autoZero"/>
        <c:auto val="1"/>
        <c:lblAlgn val="ctr"/>
        <c:lblOffset val="100"/>
        <c:noMultiLvlLbl val="0"/>
      </c:catAx>
      <c:valAx>
        <c:axId val="35631040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_);\(#,##0.0\)" sourceLinked="0"/>
        <c:majorTickMark val="none"/>
        <c:minorTickMark val="none"/>
        <c:tickLblPos val="none"/>
        <c:spPr>
          <a:noFill/>
          <a:ln w="9525" cap="flat" cmpd="sng" algn="ctr">
            <a:noFill/>
            <a:prstDash val="solid"/>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6307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lgn="just">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08855185048178"/>
          <c:y val="0.0264005905511812"/>
          <c:w val="0.909114481495183"/>
          <c:h val="0.871111423572054"/>
        </c:manualLayout>
      </c:layout>
      <c:barChart>
        <c:barDir val="bar"/>
        <c:grouping val="clustered"/>
        <c:varyColors val="0"/>
        <c:ser>
          <c:idx val="0"/>
          <c:order val="0"/>
          <c:tx>
            <c:strRef>
              <c:f>Sheet1!$B$1</c:f>
              <c:strCache>
                <c:ptCount val="1"/>
                <c:pt idx="0">
                  <c:v>参与度</c:v>
                </c:pt>
              </c:strCache>
            </c:strRef>
          </c:tx>
          <c:spPr>
            <a:solidFill>
              <a:srgbClr val="358DA5"/>
            </a:solidFill>
            <a:ln>
              <a:solidFill>
                <a:srgbClr val="358DA5"/>
              </a:solidFill>
            </a:ln>
            <a:effectLst/>
          </c:spPr>
          <c:invertIfNegative val="0"/>
          <c:dLbls>
            <c:numFmt formatCode="##0.00%;##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prstDash val="solid"/>
                      <a:round/>
                    </a:ln>
                    <a:effectLst/>
                  </c:spPr>
                </c15:leaderLines>
              </c:ext>
            </c:extLst>
          </c:dLbls>
          <c:cat>
            <c:strRef>
              <c:f>Sheet1!$A$2:$A$13</c:f>
              <c:strCache>
                <c:ptCount val="12"/>
                <c:pt idx="0">
                  <c:v>个体职业辅导</c:v>
                </c:pt>
                <c:pt idx="1">
                  <c:v>困难帮扶</c:v>
                </c:pt>
                <c:pt idx="2">
                  <c:v>团体职业辅导</c:v>
                </c:pt>
                <c:pt idx="3">
                  <c:v>学院就业推荐</c:v>
                </c:pt>
                <c:pt idx="4">
                  <c:v>就业相关政策咨询</c:v>
                </c:pt>
                <c:pt idx="5">
                  <c:v>就业指导讲座、工作坊与活动</c:v>
                </c:pt>
                <c:pt idx="6">
                  <c:v>学校就业推荐</c:v>
                </c:pt>
                <c:pt idx="7">
                  <c:v>就业实习/实践</c:v>
                </c:pt>
                <c:pt idx="8">
                  <c:v>就业信息服务</c:v>
                </c:pt>
                <c:pt idx="9">
                  <c:v>职业测评</c:v>
                </c:pt>
                <c:pt idx="10">
                  <c:v>就业指导课程</c:v>
                </c:pt>
                <c:pt idx="11">
                  <c:v>校园招聘会/宣讲会</c:v>
                </c:pt>
              </c:strCache>
            </c:strRef>
          </c:cat>
          <c:val>
            <c:numRef>
              <c:f>Sheet1!$B$2:$B$13</c:f>
              <c:numCache>
                <c:formatCode>General</c:formatCode>
                <c:ptCount val="12"/>
                <c:pt idx="0">
                  <c:v>-0.255474452554745</c:v>
                </c:pt>
                <c:pt idx="1">
                  <c:v>-0.208029197080293</c:v>
                </c:pt>
                <c:pt idx="2">
                  <c:v>-0.397810218978104</c:v>
                </c:pt>
                <c:pt idx="3">
                  <c:v>-0.456204379562045</c:v>
                </c:pt>
                <c:pt idx="4">
                  <c:v>-0.583941605839416</c:v>
                </c:pt>
                <c:pt idx="5">
                  <c:v>-0.715328467153287</c:v>
                </c:pt>
                <c:pt idx="6">
                  <c:v>-0.467153284671532</c:v>
                </c:pt>
                <c:pt idx="7">
                  <c:v>-0.762773722627739</c:v>
                </c:pt>
                <c:pt idx="8">
                  <c:v>-0.759124087591241</c:v>
                </c:pt>
                <c:pt idx="9">
                  <c:v>-0.361313868613139</c:v>
                </c:pt>
                <c:pt idx="10">
                  <c:v>-0.923357664233579</c:v>
                </c:pt>
                <c:pt idx="11">
                  <c:v>-0.609489051094893</c:v>
                </c:pt>
              </c:numCache>
            </c:numRef>
          </c:val>
          <c:extLst>
            <c:ext xmlns:c15="http://schemas.microsoft.com/office/drawing/2012/chart" uri="{02D57815-91ED-43cb-92C2-25804820EDAC}">
              <c15:datalabelsRange>
                <c15:f>Sheet1!$D$2:$D$13</c15:f>
                <c15:dlblRangeCache>
                  <c:ptCount val="12"/>
                </c15:dlblRangeCache>
              </c15:datalabelsRange>
            </c:ext>
          </c:extLst>
        </c:ser>
        <c:ser>
          <c:idx val="1"/>
          <c:order val="1"/>
          <c:tx>
            <c:strRef>
              <c:f>Sheet1!$C$1</c:f>
              <c:strCache>
                <c:ptCount val="1"/>
                <c:pt idx="0">
                  <c:v>满意度</c:v>
                </c:pt>
              </c:strCache>
            </c:strRef>
          </c:tx>
          <c:spPr>
            <a:solidFill>
              <a:schemeClr val="accent3"/>
            </a:solidFill>
            <a:ln>
              <a:noFill/>
            </a:ln>
            <a:effectLst/>
          </c:spPr>
          <c:invertIfNegative val="0"/>
          <c:dLbls>
            <c:numFmt formatCode="#,##0.00;#,##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Sheet1!$A$2:$A$13</c:f>
              <c:strCache>
                <c:ptCount val="12"/>
                <c:pt idx="0">
                  <c:v>个体职业辅导</c:v>
                </c:pt>
                <c:pt idx="1">
                  <c:v>困难帮扶</c:v>
                </c:pt>
                <c:pt idx="2">
                  <c:v>团体职业辅导</c:v>
                </c:pt>
                <c:pt idx="3">
                  <c:v>学院就业推荐</c:v>
                </c:pt>
                <c:pt idx="4">
                  <c:v>就业相关政策咨询</c:v>
                </c:pt>
                <c:pt idx="5">
                  <c:v>就业指导讲座、工作坊与活动</c:v>
                </c:pt>
                <c:pt idx="6">
                  <c:v>学校就业推荐</c:v>
                </c:pt>
                <c:pt idx="7">
                  <c:v>就业实习/实践</c:v>
                </c:pt>
                <c:pt idx="8">
                  <c:v>就业信息服务</c:v>
                </c:pt>
                <c:pt idx="9">
                  <c:v>职业测评</c:v>
                </c:pt>
                <c:pt idx="10">
                  <c:v>就业指导课程</c:v>
                </c:pt>
                <c:pt idx="11">
                  <c:v>校园招聘会/宣讲会</c:v>
                </c:pt>
              </c:strCache>
            </c:strRef>
          </c:cat>
          <c:val>
            <c:numRef>
              <c:f>Sheet1!$C$2:$C$13</c:f>
              <c:numCache>
                <c:formatCode>0.0_);[Red]\(0.0\)</c:formatCode>
                <c:ptCount val="12"/>
                <c:pt idx="0">
                  <c:v>4.62</c:v>
                </c:pt>
                <c:pt idx="1">
                  <c:v>4.59</c:v>
                </c:pt>
                <c:pt idx="2">
                  <c:v>4.57</c:v>
                </c:pt>
                <c:pt idx="3">
                  <c:v>4.56</c:v>
                </c:pt>
                <c:pt idx="4">
                  <c:v>4.55</c:v>
                </c:pt>
                <c:pt idx="5">
                  <c:v>4.52</c:v>
                </c:pt>
                <c:pt idx="6">
                  <c:v>4.48</c:v>
                </c:pt>
                <c:pt idx="7">
                  <c:v>4.47</c:v>
                </c:pt>
                <c:pt idx="8">
                  <c:v>4.44</c:v>
                </c:pt>
                <c:pt idx="9">
                  <c:v>4.43</c:v>
                </c:pt>
                <c:pt idx="10">
                  <c:v>4.42</c:v>
                </c:pt>
                <c:pt idx="11">
                  <c:v>4.33</c:v>
                </c:pt>
              </c:numCache>
            </c:numRef>
          </c:val>
        </c:ser>
        <c:dLbls>
          <c:showLegendKey val="0"/>
          <c:showVal val="1"/>
          <c:showCatName val="0"/>
          <c:showSerName val="0"/>
          <c:showPercent val="0"/>
          <c:showBubbleSize val="0"/>
        </c:dLbls>
        <c:gapWidth val="100"/>
        <c:overlap val="100"/>
        <c:axId val="356410112"/>
        <c:axId val="356411648"/>
      </c:barChart>
      <c:catAx>
        <c:axId val="356410112"/>
        <c:scaling>
          <c:orientation val="maxMin"/>
        </c:scaling>
        <c:delete val="0"/>
        <c:axPos val="l"/>
        <c:numFmt formatCode="General" sourceLinked="0"/>
        <c:majorTickMark val="none"/>
        <c:minorTickMark val="none"/>
        <c:tickLblPos val="low"/>
        <c:spPr>
          <a:noFill/>
          <a:ln w="9525" cap="flat" cmpd="sng" algn="ctr">
            <a:solidFill>
              <a:schemeClr val="tx1">
                <a:lumMod val="15000"/>
                <a:lumOff val="85000"/>
              </a:schemeClr>
            </a:solidFill>
            <a:prstDash val="solid"/>
            <a:round/>
          </a:ln>
          <a:effectLst/>
        </c:spPr>
        <c:txPr>
          <a:bodyPr rot="0" spcFirstLastPara="1" vertOverflow="ellipsis" vert="horz" wrap="square" anchor="b" anchorCtr="0"/>
          <a:lstStyle/>
          <a:p>
            <a:pPr>
              <a:defRPr lang="zh-CN" sz="900" b="0" i="0" u="none" strike="noStrike" kern="1200" baseline="0">
                <a:solidFill>
                  <a:sysClr val="windowText" lastClr="000000"/>
                </a:solidFill>
                <a:latin typeface="+mn-lt"/>
                <a:ea typeface="+mn-ea"/>
                <a:cs typeface="+mn-cs"/>
              </a:defRPr>
            </a:pPr>
          </a:p>
        </c:txPr>
        <c:crossAx val="356411648"/>
        <c:crosses val="autoZero"/>
        <c:auto val="1"/>
        <c:lblAlgn val="ctr"/>
        <c:lblOffset val="100"/>
        <c:noMultiLvlLbl val="0"/>
      </c:catAx>
      <c:valAx>
        <c:axId val="356411648"/>
        <c:scaling>
          <c:orientation val="minMax"/>
        </c:scaling>
        <c:delete val="1"/>
        <c:axPos val="t"/>
        <c:majorGridlines>
          <c:spPr>
            <a:ln w="9525" cap="flat" cmpd="sng" algn="ctr">
              <a:solidFill>
                <a:schemeClr val="tx1">
                  <a:lumMod val="15000"/>
                  <a:lumOff val="85000"/>
                </a:schemeClr>
              </a:solidFill>
              <a:prstDash val="solid"/>
              <a:round/>
            </a:ln>
            <a:effectLst/>
          </c:spPr>
        </c:majorGridlines>
        <c:numFmt formatCode="#,##0;#,##0" sourceLinked="0"/>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56410112"/>
        <c:crosses val="autoZero"/>
        <c:crossBetween val="between"/>
      </c:valAx>
      <c:spPr>
        <a:noFill/>
        <a:ln>
          <a:noFill/>
        </a:ln>
        <a:effectLst/>
      </c:spPr>
    </c:plotArea>
    <c:legend>
      <c:legendPos val="b"/>
      <c:layout>
        <c:manualLayout>
          <c:xMode val="edge"/>
          <c:yMode val="edge"/>
          <c:x val="0.389926363371251"/>
          <c:y val="0.915458380202474"/>
          <c:w val="0.204925087489065"/>
          <c:h val="0.0669647544056993"/>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08855185048178"/>
          <c:y val="0.0264005905511812"/>
          <c:w val="0.909114481495183"/>
          <c:h val="0.871111423572054"/>
        </c:manualLayout>
      </c:layout>
      <c:barChart>
        <c:barDir val="bar"/>
        <c:grouping val="clustered"/>
        <c:varyColors val="0"/>
        <c:ser>
          <c:idx val="0"/>
          <c:order val="0"/>
          <c:tx>
            <c:strRef>
              <c:f>Sheet1!$B$1</c:f>
              <c:strCache>
                <c:ptCount val="1"/>
                <c:pt idx="0">
                  <c:v>参与度</c:v>
                </c:pt>
              </c:strCache>
            </c:strRef>
          </c:tx>
          <c:spPr>
            <a:solidFill>
              <a:srgbClr val="358DA5"/>
            </a:solidFill>
            <a:ln>
              <a:solidFill>
                <a:srgbClr val="358DA5"/>
              </a:solidFill>
            </a:ln>
            <a:effectLst/>
          </c:spPr>
          <c:invertIfNegative val="0"/>
          <c:dLbls>
            <c:numFmt formatCode="##0.00%;##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prstDash val="solid"/>
                      <a:round/>
                    </a:ln>
                    <a:effectLst/>
                  </c:spPr>
                </c15:leaderLines>
              </c:ext>
            </c:extLst>
          </c:dLbls>
          <c:cat>
            <c:strRef>
              <c:f>Sheet1!$A$2:$A$8</c:f>
              <c:strCache>
                <c:ptCount val="7"/>
                <c:pt idx="0">
                  <c:v>创业计划大赛</c:v>
                </c:pt>
                <c:pt idx="1">
                  <c:v>参与创业企业的实习项目</c:v>
                </c:pt>
                <c:pt idx="2">
                  <c:v>参观创业企业</c:v>
                </c:pt>
                <c:pt idx="3">
                  <c:v>创业类学生社团活动</c:v>
                </c:pt>
                <c:pt idx="4">
                  <c:v>与创业者交流</c:v>
                </c:pt>
                <c:pt idx="5">
                  <c:v>创业相关讲座</c:v>
                </c:pt>
                <c:pt idx="6">
                  <c:v>创业课程</c:v>
                </c:pt>
              </c:strCache>
            </c:strRef>
          </c:cat>
          <c:val>
            <c:numRef>
              <c:f>Sheet1!$B$2:$B$8</c:f>
              <c:numCache>
                <c:formatCode>General</c:formatCode>
                <c:ptCount val="7"/>
                <c:pt idx="0">
                  <c:v>-0.0912408759124088</c:v>
                </c:pt>
                <c:pt idx="1">
                  <c:v>-0.208029197080293</c:v>
                </c:pt>
                <c:pt idx="2">
                  <c:v>-0.142335766423358</c:v>
                </c:pt>
                <c:pt idx="3">
                  <c:v>-0.197080291970803</c:v>
                </c:pt>
                <c:pt idx="4">
                  <c:v>-0.248175182481752</c:v>
                </c:pt>
                <c:pt idx="5">
                  <c:v>-0.405109489051095</c:v>
                </c:pt>
                <c:pt idx="6">
                  <c:v>-0.390510948905111</c:v>
                </c:pt>
              </c:numCache>
            </c:numRef>
          </c:val>
          <c:extLst>
            <c:ext xmlns:c15="http://schemas.microsoft.com/office/drawing/2012/chart" uri="{02D57815-91ED-43cb-92C2-25804820EDAC}">
              <c15:datalabelsRange>
                <c15:f>Sheet1!$D$2:$D$13</c15:f>
                <c15:dlblRangeCache>
                  <c:ptCount val="12"/>
                </c15:dlblRangeCache>
              </c15:datalabelsRange>
            </c:ext>
          </c:extLst>
        </c:ser>
        <c:ser>
          <c:idx val="1"/>
          <c:order val="1"/>
          <c:tx>
            <c:strRef>
              <c:f>Sheet1!$C$1</c:f>
              <c:strCache>
                <c:ptCount val="1"/>
                <c:pt idx="0">
                  <c:v>满意度</c:v>
                </c:pt>
              </c:strCache>
            </c:strRef>
          </c:tx>
          <c:spPr>
            <a:solidFill>
              <a:schemeClr val="accent3"/>
            </a:solidFill>
            <a:ln>
              <a:noFill/>
            </a:ln>
            <a:effectLst/>
          </c:spPr>
          <c:invertIfNegative val="0"/>
          <c:dLbls>
            <c:numFmt formatCode="#,##0.00;#,##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Sheet1!$A$2:$A$8</c:f>
              <c:strCache>
                <c:ptCount val="7"/>
                <c:pt idx="0">
                  <c:v>创业计划大赛</c:v>
                </c:pt>
                <c:pt idx="1">
                  <c:v>参与创业企业的实习项目</c:v>
                </c:pt>
                <c:pt idx="2">
                  <c:v>参观创业企业</c:v>
                </c:pt>
                <c:pt idx="3">
                  <c:v>创业类学生社团活动</c:v>
                </c:pt>
                <c:pt idx="4">
                  <c:v>与创业者交流</c:v>
                </c:pt>
                <c:pt idx="5">
                  <c:v>创业相关讲座</c:v>
                </c:pt>
                <c:pt idx="6">
                  <c:v>创业课程</c:v>
                </c:pt>
              </c:strCache>
            </c:strRef>
          </c:cat>
          <c:val>
            <c:numRef>
              <c:f>Sheet1!$C$2:$C$8</c:f>
              <c:numCache>
                <c:formatCode>0.0_);[Red]\(0.0\)</c:formatCode>
                <c:ptCount val="7"/>
                <c:pt idx="0">
                  <c:v>4.6</c:v>
                </c:pt>
                <c:pt idx="1">
                  <c:v>4.59</c:v>
                </c:pt>
                <c:pt idx="2">
                  <c:v>4.53</c:v>
                </c:pt>
                <c:pt idx="3">
                  <c:v>4.51</c:v>
                </c:pt>
                <c:pt idx="4">
                  <c:v>4.49</c:v>
                </c:pt>
                <c:pt idx="5">
                  <c:v>4.47</c:v>
                </c:pt>
                <c:pt idx="6">
                  <c:v>4.42</c:v>
                </c:pt>
              </c:numCache>
            </c:numRef>
          </c:val>
        </c:ser>
        <c:dLbls>
          <c:showLegendKey val="0"/>
          <c:showVal val="1"/>
          <c:showCatName val="0"/>
          <c:showSerName val="0"/>
          <c:showPercent val="0"/>
          <c:showBubbleSize val="0"/>
        </c:dLbls>
        <c:gapWidth val="100"/>
        <c:overlap val="100"/>
        <c:axId val="356331904"/>
        <c:axId val="356333440"/>
      </c:barChart>
      <c:catAx>
        <c:axId val="356331904"/>
        <c:scaling>
          <c:orientation val="maxMin"/>
        </c:scaling>
        <c:delete val="0"/>
        <c:axPos val="l"/>
        <c:numFmt formatCode="General" sourceLinked="0"/>
        <c:majorTickMark val="none"/>
        <c:minorTickMark val="none"/>
        <c:tickLblPos val="low"/>
        <c:spPr>
          <a:noFill/>
          <a:ln w="9525" cap="flat" cmpd="sng" algn="ctr">
            <a:solidFill>
              <a:schemeClr val="tx1">
                <a:lumMod val="15000"/>
                <a:lumOff val="85000"/>
              </a:schemeClr>
            </a:solidFill>
            <a:prstDash val="solid"/>
            <a:round/>
          </a:ln>
          <a:effectLst/>
        </c:spPr>
        <c:txPr>
          <a:bodyPr rot="0" spcFirstLastPara="1" vertOverflow="ellipsis" vert="horz" wrap="square" anchor="b" anchorCtr="0"/>
          <a:lstStyle/>
          <a:p>
            <a:pPr>
              <a:defRPr lang="zh-CN" sz="900" b="0" i="0" u="none" strike="noStrike" kern="1200" baseline="0">
                <a:solidFill>
                  <a:sysClr val="windowText" lastClr="000000"/>
                </a:solidFill>
                <a:latin typeface="+mn-lt"/>
                <a:ea typeface="+mn-ea"/>
                <a:cs typeface="+mn-cs"/>
              </a:defRPr>
            </a:pPr>
          </a:p>
        </c:txPr>
        <c:crossAx val="356333440"/>
        <c:crosses val="autoZero"/>
        <c:auto val="1"/>
        <c:lblAlgn val="ctr"/>
        <c:lblOffset val="100"/>
        <c:noMultiLvlLbl val="0"/>
      </c:catAx>
      <c:valAx>
        <c:axId val="356333440"/>
        <c:scaling>
          <c:orientation val="minMax"/>
        </c:scaling>
        <c:delete val="1"/>
        <c:axPos val="t"/>
        <c:majorGridlines>
          <c:spPr>
            <a:ln w="9525" cap="flat" cmpd="sng" algn="ctr">
              <a:solidFill>
                <a:schemeClr val="tx1">
                  <a:lumMod val="15000"/>
                  <a:lumOff val="85000"/>
                </a:schemeClr>
              </a:solidFill>
              <a:prstDash val="solid"/>
              <a:round/>
            </a:ln>
            <a:effectLst/>
          </c:spPr>
        </c:majorGridlines>
        <c:numFmt formatCode="#,##0;#,##0" sourceLinked="0"/>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56331904"/>
        <c:crosses val="autoZero"/>
        <c:crossBetween val="between"/>
      </c:valAx>
      <c:spPr>
        <a:noFill/>
        <a:ln>
          <a:noFill/>
        </a:ln>
        <a:effectLst/>
      </c:spPr>
    </c:plotArea>
    <c:legend>
      <c:legendPos val="b"/>
      <c:layout>
        <c:manualLayout>
          <c:xMode val="edge"/>
          <c:yMode val="edge"/>
          <c:x val="0.389926363371251"/>
          <c:y val="0.915458380202474"/>
          <c:w val="0.204925087489065"/>
          <c:h val="0.0669647544056993"/>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1500255176438"/>
          <c:y val="0.128859247432781"/>
          <c:w val="0.436856959525672"/>
          <c:h val="0.843552777420266"/>
        </c:manualLayout>
      </c:layout>
      <c:pieChart>
        <c:varyColors val="1"/>
        <c:ser>
          <c:idx val="0"/>
          <c:order val="0"/>
          <c:tx>
            <c:strRef>
              <c:f>Sheet1!$B$1</c:f>
              <c:strCache>
                <c:ptCount val="1"/>
                <c:pt idx="0">
                  <c:v/>
                </c:pt>
              </c:strCache>
            </c:strRef>
          </c:tx>
          <c:explosion val="0"/>
          <c:dPt>
            <c:idx val="0"/>
            <c:bubble3D val="0"/>
            <c:explosion val="6"/>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0640080381613701"/>
                  <c:y val="0.00731885825811174"/>
                </c:manualLayout>
              </c:layout>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1"/>
              <c:layout/>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extLst>
            </c:dLbl>
            <c:dLbl>
              <c:idx val="2"/>
              <c:layout/>
              <c:numFmt formatCode="0.00%" sourceLinked="0"/>
              <c:spPr>
                <a:no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extLst>
            </c:dLbl>
            <c:dLbl>
              <c:idx val="3"/>
              <c:layout/>
              <c:numFmt formatCode="0.00%" sourceLinked="0"/>
              <c:spPr>
                <a:no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extLst>
            </c:dLbl>
            <c:dLbl>
              <c:idx val="4"/>
              <c:layout/>
              <c:numFmt formatCode="0.00%" sourceLinked="0"/>
              <c:spPr>
                <a:no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p>
            </c:txPr>
            <c:dLblPos val="bestFit"/>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ext>
            </c:extLst>
          </c:dLbls>
          <c:cat>
            <c:strRef>
              <c:f>Sheet1!$A$2:$A$6</c:f>
              <c:strCache>
                <c:ptCount val="5"/>
                <c:pt idx="0">
                  <c:v>上学期间未创业，毕业后也不打算创业</c:v>
                </c:pt>
                <c:pt idx="1">
                  <c:v>上学期间未创业，毕业后打算马上创业</c:v>
                </c:pt>
                <c:pt idx="2">
                  <c:v>上学期间未创业，毕业后打算工作几年再创业</c:v>
                </c:pt>
                <c:pt idx="3">
                  <c:v>上学期间创业了，毕业后打算继续创业</c:v>
                </c:pt>
                <c:pt idx="4">
                  <c:v>上学期间创业了，毕业后打算暂停创业</c:v>
                </c:pt>
              </c:strCache>
            </c:strRef>
          </c:cat>
          <c:val>
            <c:numRef>
              <c:f>Sheet1!$B$2:$B$6</c:f>
              <c:numCache>
                <c:formatCode>###0"人"</c:formatCode>
                <c:ptCount val="5"/>
                <c:pt idx="0">
                  <c:v>95</c:v>
                </c:pt>
                <c:pt idx="1">
                  <c:v>9</c:v>
                </c:pt>
                <c:pt idx="2">
                  <c:v>132</c:v>
                </c:pt>
                <c:pt idx="3">
                  <c:v>34</c:v>
                </c:pt>
                <c:pt idx="4">
                  <c:v>3</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
                </c:pt>
              </c:strCache>
            </c:strRef>
          </c:tx>
          <c:spPr>
            <a:solidFill>
              <a:schemeClr val="accent5">
                <a:alpha val="85000"/>
              </a:scheme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Sheet1!$A$2:$A$7</c:f>
              <c:strCache>
                <c:ptCount val="6"/>
                <c:pt idx="0">
                  <c:v>了解了相关创业政策</c:v>
                </c:pt>
                <c:pt idx="1">
                  <c:v>了解了什么是大学生创业</c:v>
                </c:pt>
                <c:pt idx="2">
                  <c:v>没有任何收获</c:v>
                </c:pt>
                <c:pt idx="3">
                  <c:v>启发了我的创业意识</c:v>
                </c:pt>
                <c:pt idx="4">
                  <c:v>激发了我的创业热情</c:v>
                </c:pt>
                <c:pt idx="5">
                  <c:v>明确了我的创业计划</c:v>
                </c:pt>
              </c:strCache>
            </c:strRef>
          </c:cat>
          <c:val>
            <c:numRef>
              <c:f>Sheet1!$B$2:$B$7</c:f>
              <c:numCache>
                <c:formatCode>0.00%</c:formatCode>
                <c:ptCount val="6"/>
                <c:pt idx="0">
                  <c:v>0.2628</c:v>
                </c:pt>
                <c:pt idx="1">
                  <c:v>0.2372</c:v>
                </c:pt>
                <c:pt idx="2">
                  <c:v>0.1825</c:v>
                </c:pt>
                <c:pt idx="3">
                  <c:v>0.1788</c:v>
                </c:pt>
                <c:pt idx="4">
                  <c:v>0.0803</c:v>
                </c:pt>
                <c:pt idx="5">
                  <c:v>0.0584</c:v>
                </c:pt>
              </c:numCache>
            </c:numRef>
          </c:val>
        </c:ser>
        <c:dLbls>
          <c:showLegendKey val="0"/>
          <c:showVal val="1"/>
          <c:showCatName val="0"/>
          <c:showSerName val="0"/>
          <c:showPercent val="0"/>
          <c:showBubbleSize val="0"/>
        </c:dLbls>
        <c:gapWidth val="65"/>
        <c:axId val="356484608"/>
        <c:axId val="357396864"/>
      </c:barChart>
      <c:catAx>
        <c:axId val="356484608"/>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57396864"/>
        <c:crosses val="autoZero"/>
        <c:auto val="1"/>
        <c:lblAlgn val="ctr"/>
        <c:lblOffset val="100"/>
        <c:noMultiLvlLbl val="0"/>
      </c:catAx>
      <c:valAx>
        <c:axId val="357396864"/>
        <c:scaling>
          <c:orientation val="minMax"/>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crossAx val="356484608"/>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c:f>
              <c:strCache>
                <c:ptCount val="1"/>
                <c:pt idx="0">
                  <c:v>最终落实</c:v>
                </c:pt>
              </c:strCache>
            </c:strRef>
          </c:tx>
          <c:spPr>
            <a:effectLst/>
          </c:spPr>
          <c:dLbls>
            <c:delete val="1"/>
          </c:dLbls>
          <c:cat>
            <c:strRef>
              <c:f>Sheet1!$B$1:$C$1</c:f>
              <c:strCache>
                <c:ptCount val="2"/>
                <c:pt idx="0">
                  <c:v>北京</c:v>
                </c:pt>
                <c:pt idx="1">
                  <c:v>东部地区</c:v>
                </c:pt>
              </c:strCache>
            </c:strRef>
          </c:cat>
          <c:val>
            <c:numRef>
              <c:f>Sheet1!$B$2:$C$2</c:f>
              <c:numCache>
                <c:formatCode>0.00%</c:formatCode>
                <c:ptCount val="2"/>
                <c:pt idx="0">
                  <c:v>0.9404</c:v>
                </c:pt>
                <c:pt idx="1">
                  <c:v>0.0596</c:v>
                </c:pt>
              </c:numCache>
            </c:numRef>
          </c:val>
          <c:smooth val="0"/>
        </c:ser>
        <c:ser>
          <c:idx val="1"/>
          <c:order val="1"/>
          <c:tx>
            <c:strRef>
              <c:f>Sheet1!$A$3</c:f>
              <c:strCache>
                <c:ptCount val="1"/>
                <c:pt idx="0">
                  <c:v>期望首选</c:v>
                </c:pt>
              </c:strCache>
            </c:strRef>
          </c:tx>
          <c:spPr>
            <a:ln w="28575" cap="rnd" cmpd="sng" algn="ctr">
              <a:solidFill>
                <a:schemeClr val="accent5">
                  <a:tint val="77000"/>
                  <a:shade val="95000"/>
                  <a:satMod val="105000"/>
                </a:schemeClr>
              </a:solidFill>
              <a:prstDash val="solid"/>
              <a:round/>
            </a:ln>
            <a:effectLst/>
          </c:spPr>
          <c:marker>
            <c:spPr>
              <a:solidFill>
                <a:schemeClr val="accent5">
                  <a:tint val="77000"/>
                </a:schemeClr>
              </a:solidFill>
              <a:ln w="9525" cap="flat" cmpd="sng" algn="ctr">
                <a:solidFill>
                  <a:schemeClr val="accent5">
                    <a:tint val="77000"/>
                    <a:shade val="95000"/>
                    <a:satMod val="105000"/>
                  </a:schemeClr>
                </a:solidFill>
                <a:prstDash val="solid"/>
                <a:round/>
              </a:ln>
              <a:effectLst/>
            </c:spPr>
          </c:marker>
          <c:dLbls>
            <c:delete val="1"/>
          </c:dLbls>
          <c:cat>
            <c:strRef>
              <c:f>Sheet1!$B$1:$C$1</c:f>
              <c:strCache>
                <c:ptCount val="2"/>
                <c:pt idx="0">
                  <c:v>北京</c:v>
                </c:pt>
                <c:pt idx="1">
                  <c:v>东部地区</c:v>
                </c:pt>
              </c:strCache>
            </c:strRef>
          </c:cat>
          <c:val>
            <c:numRef>
              <c:f>Sheet1!$B$3:$C$3</c:f>
              <c:numCache>
                <c:formatCode>0.00%</c:formatCode>
                <c:ptCount val="2"/>
                <c:pt idx="0">
                  <c:v>0.9801</c:v>
                </c:pt>
                <c:pt idx="1">
                  <c:v>0.0199000000000001</c:v>
                </c:pt>
              </c:numCache>
            </c:numRef>
          </c:val>
          <c:smooth val="0"/>
        </c:ser>
        <c:dLbls>
          <c:showLegendKey val="0"/>
          <c:showVal val="0"/>
          <c:showCatName val="0"/>
          <c:showSerName val="0"/>
          <c:showPercent val="0"/>
          <c:showBubbleSize val="0"/>
        </c:dLbls>
        <c:marker val="1"/>
        <c:smooth val="0"/>
        <c:axId val="356516608"/>
        <c:axId val="356518528"/>
      </c:lineChart>
      <c:catAx>
        <c:axId val="35651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6518528"/>
        <c:crosses val="autoZero"/>
        <c:auto val="1"/>
        <c:lblAlgn val="ctr"/>
        <c:lblOffset val="100"/>
        <c:noMultiLvlLbl val="0"/>
      </c:catAx>
      <c:valAx>
        <c:axId val="356518528"/>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6516608"/>
        <c:crosses val="autoZero"/>
        <c:crossBetween val="between"/>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dTable>
      <c:spPr>
        <a:noFill/>
        <a:ln>
          <a:noFill/>
        </a:ln>
        <a:effectLst/>
      </c:spPr>
    </c:plotArea>
    <c:plotVisOnly val="1"/>
    <c:dispBlanksAs val="gap"/>
    <c:showDLblsOverMax val="0"/>
  </c:chart>
  <c:spPr>
    <a:no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c:f>
              <c:strCache>
                <c:ptCount val="1"/>
                <c:pt idx="0">
                  <c:v>最终落实</c:v>
                </c:pt>
              </c:strCache>
            </c:strRef>
          </c:tx>
          <c:spPr>
            <a:effectLst/>
          </c:spPr>
          <c:dLbls>
            <c:delete val="1"/>
          </c:dLbls>
          <c:cat>
            <c:strRef>
              <c:f>Sheet1!$B$1:$E$1</c:f>
              <c:strCache>
                <c:ptCount val="4"/>
                <c:pt idx="0">
                  <c:v>北京</c:v>
                </c:pt>
                <c:pt idx="1">
                  <c:v>北部沿海经济区</c:v>
                </c:pt>
                <c:pt idx="2">
                  <c:v>东部沿海经济区</c:v>
                </c:pt>
                <c:pt idx="3">
                  <c:v>南部沿海经济区</c:v>
                </c:pt>
              </c:strCache>
            </c:strRef>
          </c:cat>
          <c:val>
            <c:numRef>
              <c:f>Sheet1!$B$2:$E$2</c:f>
              <c:numCache>
                <c:formatCode>0.00%</c:formatCode>
                <c:ptCount val="4"/>
                <c:pt idx="0">
                  <c:v>0.9404</c:v>
                </c:pt>
                <c:pt idx="1">
                  <c:v>0.0199000000000001</c:v>
                </c:pt>
                <c:pt idx="2">
                  <c:v>0.0066</c:v>
                </c:pt>
                <c:pt idx="3">
                  <c:v>0.0331</c:v>
                </c:pt>
              </c:numCache>
            </c:numRef>
          </c:val>
          <c:smooth val="0"/>
        </c:ser>
        <c:ser>
          <c:idx val="1"/>
          <c:order val="1"/>
          <c:tx>
            <c:strRef>
              <c:f>Sheet1!$A$3</c:f>
              <c:strCache>
                <c:ptCount val="1"/>
                <c:pt idx="0">
                  <c:v>期望首选</c:v>
                </c:pt>
              </c:strCache>
            </c:strRef>
          </c:tx>
          <c:spPr>
            <a:ln w="28575" cap="rnd" cmpd="sng" algn="ctr">
              <a:solidFill>
                <a:schemeClr val="accent5">
                  <a:tint val="77000"/>
                  <a:shade val="95000"/>
                  <a:satMod val="105000"/>
                </a:schemeClr>
              </a:solidFill>
              <a:prstDash val="solid"/>
              <a:round/>
            </a:ln>
            <a:effectLst/>
          </c:spPr>
          <c:marker>
            <c:spPr>
              <a:solidFill>
                <a:schemeClr val="accent5">
                  <a:tint val="77000"/>
                </a:schemeClr>
              </a:solidFill>
              <a:ln w="9525" cap="flat" cmpd="sng" algn="ctr">
                <a:solidFill>
                  <a:schemeClr val="accent5">
                    <a:tint val="77000"/>
                    <a:shade val="95000"/>
                    <a:satMod val="105000"/>
                  </a:schemeClr>
                </a:solidFill>
                <a:prstDash val="solid"/>
                <a:round/>
              </a:ln>
              <a:effectLst/>
            </c:spPr>
          </c:marker>
          <c:dLbls>
            <c:delete val="1"/>
          </c:dLbls>
          <c:cat>
            <c:strRef>
              <c:f>Sheet1!$B$1:$E$1</c:f>
              <c:strCache>
                <c:ptCount val="4"/>
                <c:pt idx="0">
                  <c:v>北京</c:v>
                </c:pt>
                <c:pt idx="1">
                  <c:v>北部沿海经济区</c:v>
                </c:pt>
                <c:pt idx="2">
                  <c:v>东部沿海经济区</c:v>
                </c:pt>
                <c:pt idx="3">
                  <c:v>南部沿海经济区</c:v>
                </c:pt>
              </c:strCache>
            </c:strRef>
          </c:cat>
          <c:val>
            <c:numRef>
              <c:f>Sheet1!$B$3:$E$3</c:f>
              <c:numCache>
                <c:formatCode>0.00%</c:formatCode>
                <c:ptCount val="4"/>
                <c:pt idx="0">
                  <c:v>0.9801</c:v>
                </c:pt>
                <c:pt idx="3">
                  <c:v>0.0199000000000001</c:v>
                </c:pt>
              </c:numCache>
            </c:numRef>
          </c:val>
          <c:smooth val="0"/>
        </c:ser>
        <c:dLbls>
          <c:showLegendKey val="0"/>
          <c:showVal val="0"/>
          <c:showCatName val="0"/>
          <c:showSerName val="0"/>
          <c:showPercent val="0"/>
          <c:showBubbleSize val="0"/>
        </c:dLbls>
        <c:marker val="1"/>
        <c:smooth val="0"/>
        <c:axId val="357847808"/>
        <c:axId val="357849728"/>
      </c:lineChart>
      <c:catAx>
        <c:axId val="35784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7849728"/>
        <c:crosses val="autoZero"/>
        <c:auto val="1"/>
        <c:lblAlgn val="ctr"/>
        <c:lblOffset val="100"/>
        <c:noMultiLvlLbl val="0"/>
      </c:catAx>
      <c:valAx>
        <c:axId val="357849728"/>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7847808"/>
        <c:crosses val="autoZero"/>
        <c:crossBetween val="between"/>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dTable>
      <c:spPr>
        <a:noFill/>
        <a:ln>
          <a:noFill/>
        </a:ln>
        <a:effectLst/>
      </c:spPr>
    </c:plotArea>
    <c:plotVisOnly val="1"/>
    <c:dispBlanksAs val="gap"/>
    <c:showDLblsOverMax val="0"/>
  </c:chart>
  <c:spPr>
    <a:no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c:f>
              <c:strCache>
                <c:ptCount val="1"/>
                <c:pt idx="0">
                  <c:v>最终落实（2016届）</c:v>
                </c:pt>
              </c:strCache>
            </c:strRef>
          </c:tx>
          <c:spPr>
            <a:ln w="28575" cap="rnd" cmpd="sng" algn="ctr">
              <a:solidFill>
                <a:srgbClr val="4BACC6"/>
              </a:solidFill>
              <a:prstDash val="solid"/>
              <a:round/>
            </a:ln>
            <a:effectLst/>
          </c:spPr>
          <c:marker>
            <c:spPr>
              <a:solidFill>
                <a:srgbClr val="4BACC6"/>
              </a:solidFill>
              <a:ln w="9525" cap="flat" cmpd="sng" algn="ctr">
                <a:solidFill>
                  <a:srgbClr val="4BACC6"/>
                </a:solidFill>
                <a:prstDash val="solid"/>
                <a:round/>
              </a:ln>
            </c:spPr>
          </c:marker>
          <c:dLbls>
            <c:delete val="1"/>
          </c:dLbls>
          <c:cat>
            <c:strRef>
              <c:f>Sheet1!$B$1:$D$1</c:f>
              <c:strCache>
                <c:ptCount val="3"/>
                <c:pt idx="0">
                  <c:v>北京</c:v>
                </c:pt>
                <c:pt idx="1">
                  <c:v>东部地区</c:v>
                </c:pt>
                <c:pt idx="2">
                  <c:v>中部地区</c:v>
                </c:pt>
              </c:strCache>
            </c:strRef>
          </c:cat>
          <c:val>
            <c:numRef>
              <c:f>Sheet1!$B$2:$D$2</c:f>
              <c:numCache>
                <c:formatCode>###0.00%</c:formatCode>
                <c:ptCount val="3"/>
                <c:pt idx="0">
                  <c:v>0.967479674796748</c:v>
                </c:pt>
                <c:pt idx="1">
                  <c:v>0.024390243902439</c:v>
                </c:pt>
                <c:pt idx="2">
                  <c:v>0.00813008130081301</c:v>
                </c:pt>
              </c:numCache>
            </c:numRef>
          </c:val>
          <c:smooth val="0"/>
        </c:ser>
        <c:ser>
          <c:idx val="1"/>
          <c:order val="1"/>
          <c:tx>
            <c:strRef>
              <c:f>Sheet1!$A$3</c:f>
              <c:strCache>
                <c:ptCount val="1"/>
                <c:pt idx="0">
                  <c:v>期望首选（2016届）</c:v>
                </c:pt>
              </c:strCache>
            </c:strRef>
          </c:tx>
          <c:spPr>
            <a:ln w="28575" cap="rnd" cmpd="sng" algn="ctr">
              <a:solidFill>
                <a:srgbClr val="4BACC6">
                  <a:lumMod val="50000"/>
                </a:srgbClr>
              </a:solidFill>
              <a:prstDash val="solid"/>
              <a:round/>
            </a:ln>
            <a:effectLst/>
          </c:spPr>
          <c:marker>
            <c:spPr>
              <a:solidFill>
                <a:srgbClr val="4BACC6">
                  <a:lumMod val="50000"/>
                </a:srgbClr>
              </a:solidFill>
              <a:ln w="9525" cap="flat" cmpd="sng" algn="ctr">
                <a:solidFill>
                  <a:srgbClr val="4BACC6">
                    <a:lumMod val="50000"/>
                  </a:srgbClr>
                </a:solidFill>
                <a:prstDash val="solid"/>
                <a:round/>
              </a:ln>
              <a:effectLst/>
            </c:spPr>
          </c:marker>
          <c:dLbls>
            <c:delete val="1"/>
          </c:dLbls>
          <c:cat>
            <c:strRef>
              <c:f>Sheet1!$B$1:$D$1</c:f>
              <c:strCache>
                <c:ptCount val="3"/>
                <c:pt idx="0">
                  <c:v>北京</c:v>
                </c:pt>
                <c:pt idx="1">
                  <c:v>东部地区</c:v>
                </c:pt>
                <c:pt idx="2">
                  <c:v>中部地区</c:v>
                </c:pt>
              </c:strCache>
            </c:strRef>
          </c:cat>
          <c:val>
            <c:numRef>
              <c:f>Sheet1!$B$3:$D$3</c:f>
              <c:numCache>
                <c:formatCode>###0.00%</c:formatCode>
                <c:ptCount val="3"/>
                <c:pt idx="0">
                  <c:v>0.96124031007752</c:v>
                </c:pt>
                <c:pt idx="1">
                  <c:v>0.0310077519379845</c:v>
                </c:pt>
                <c:pt idx="2">
                  <c:v>0.00775193798449614</c:v>
                </c:pt>
              </c:numCache>
            </c:numRef>
          </c:val>
          <c:smooth val="0"/>
        </c:ser>
        <c:ser>
          <c:idx val="2"/>
          <c:order val="2"/>
          <c:tx>
            <c:strRef>
              <c:f>Sheet1!$A$4</c:f>
              <c:strCache>
                <c:ptCount val="1"/>
                <c:pt idx="0">
                  <c:v>最终落实（2017届）</c:v>
                </c:pt>
              </c:strCache>
            </c:strRef>
          </c:tx>
          <c:dLbls>
            <c:delete val="1"/>
          </c:dLbls>
          <c:cat>
            <c:strRef>
              <c:f>Sheet1!$B$1:$D$1</c:f>
              <c:strCache>
                <c:ptCount val="3"/>
                <c:pt idx="0">
                  <c:v>北京</c:v>
                </c:pt>
                <c:pt idx="1">
                  <c:v>东部地区</c:v>
                </c:pt>
                <c:pt idx="2">
                  <c:v>中部地区</c:v>
                </c:pt>
              </c:strCache>
            </c:strRef>
          </c:cat>
          <c:val>
            <c:numRef>
              <c:f>Sheet1!$B$4:$D$4</c:f>
              <c:numCache>
                <c:formatCode>0.00%</c:formatCode>
                <c:ptCount val="3"/>
                <c:pt idx="0">
                  <c:v>0.9404</c:v>
                </c:pt>
                <c:pt idx="1">
                  <c:v>0.0596</c:v>
                </c:pt>
                <c:pt idx="2">
                  <c:v>0</c:v>
                </c:pt>
              </c:numCache>
            </c:numRef>
          </c:val>
          <c:smooth val="0"/>
        </c:ser>
        <c:ser>
          <c:idx val="3"/>
          <c:order val="3"/>
          <c:tx>
            <c:strRef>
              <c:f>Sheet1!$A$5</c:f>
              <c:strCache>
                <c:ptCount val="1"/>
                <c:pt idx="0">
                  <c:v>期望首选（2017届）</c:v>
                </c:pt>
              </c:strCache>
            </c:strRef>
          </c:tx>
          <c:spPr>
            <a:ln w="28575" cap="rnd" cmpd="sng" algn="ctr">
              <a:solidFill>
                <a:srgbClr val="4BACC6">
                  <a:lumMod val="75000"/>
                </a:srgbClr>
              </a:solidFill>
              <a:prstDash val="solid"/>
              <a:round/>
            </a:ln>
          </c:spPr>
          <c:marker>
            <c:symbol val="star"/>
            <c:size val="7"/>
            <c:spPr>
              <a:noFill/>
              <a:ln w="9525" cap="flat" cmpd="sng" algn="ctr">
                <a:solidFill>
                  <a:srgbClr val="4BACC6">
                    <a:lumMod val="75000"/>
                  </a:srgbClr>
                </a:solidFill>
                <a:prstDash val="solid"/>
                <a:round/>
              </a:ln>
            </c:spPr>
          </c:marker>
          <c:dLbls>
            <c:delete val="1"/>
          </c:dLbls>
          <c:cat>
            <c:strRef>
              <c:f>Sheet1!$B$1:$D$1</c:f>
              <c:strCache>
                <c:ptCount val="3"/>
                <c:pt idx="0">
                  <c:v>北京</c:v>
                </c:pt>
                <c:pt idx="1">
                  <c:v>东部地区</c:v>
                </c:pt>
                <c:pt idx="2">
                  <c:v>中部地区</c:v>
                </c:pt>
              </c:strCache>
            </c:strRef>
          </c:cat>
          <c:val>
            <c:numRef>
              <c:f>Sheet1!$B$5:$D$5</c:f>
              <c:numCache>
                <c:formatCode>0.00%</c:formatCode>
                <c:ptCount val="3"/>
                <c:pt idx="0">
                  <c:v>0.9801</c:v>
                </c:pt>
                <c:pt idx="1">
                  <c:v>0.0199</c:v>
                </c:pt>
                <c:pt idx="2">
                  <c:v>0</c:v>
                </c:pt>
              </c:numCache>
            </c:numRef>
          </c:val>
          <c:smooth val="0"/>
        </c:ser>
        <c:dLbls>
          <c:showLegendKey val="0"/>
          <c:showVal val="0"/>
          <c:showCatName val="0"/>
          <c:showSerName val="0"/>
          <c:showPercent val="0"/>
          <c:showBubbleSize val="0"/>
        </c:dLbls>
        <c:marker val="1"/>
        <c:smooth val="0"/>
        <c:axId val="356658176"/>
        <c:axId val="356664448"/>
      </c:lineChart>
      <c:catAx>
        <c:axId val="35665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6664448"/>
        <c:crosses val="autoZero"/>
        <c:auto val="1"/>
        <c:lblAlgn val="ctr"/>
        <c:lblOffset val="100"/>
        <c:noMultiLvlLbl val="0"/>
      </c:catAx>
      <c:valAx>
        <c:axId val="356664448"/>
        <c:scaling>
          <c:orientation val="minMax"/>
          <c:max val="1"/>
        </c:scaling>
        <c:delete val="0"/>
        <c:axPos val="l"/>
        <c:majorGridlines>
          <c:spPr>
            <a:ln w="9525" cap="flat" cmpd="sng" algn="ctr">
              <a:solidFill>
                <a:schemeClr val="tx1">
                  <a:tint val="75000"/>
                  <a:shade val="95000"/>
                  <a:satMod val="105000"/>
                </a:schemeClr>
              </a:solidFill>
              <a:prstDash val="solid"/>
              <a:round/>
            </a:ln>
            <a:effectLst/>
          </c:spPr>
        </c:majorGridlines>
        <c:numFmt formatCode="###0.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6658176"/>
        <c:crosses val="autoZero"/>
        <c:crossBetween val="between"/>
        <c:majorUnit val="0.1"/>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dTable>
      <c:spPr>
        <a:noFill/>
        <a:ln>
          <a:noFill/>
        </a:ln>
        <a:effectLst/>
      </c:spPr>
    </c:plotArea>
    <c:plotVisOnly val="1"/>
    <c:dispBlanksAs val="gap"/>
    <c:showDLblsOverMax val="0"/>
  </c:chart>
  <c:spPr>
    <a:no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c:f>
              <c:strCache>
                <c:ptCount val="1"/>
                <c:pt idx="0">
                  <c:v>最终落实</c:v>
                </c:pt>
              </c:strCache>
            </c:strRef>
          </c:tx>
          <c:spPr>
            <a:effectLst/>
          </c:spPr>
          <c:dLbls>
            <c:delete val="1"/>
          </c:dLbls>
          <c:cat>
            <c:strRef>
              <c:f>Sheet1!$B$1:$D$1</c:f>
              <c:strCache>
                <c:ptCount val="3"/>
                <c:pt idx="0">
                  <c:v>直辖市</c:v>
                </c:pt>
                <c:pt idx="1">
                  <c:v>副省级城市</c:v>
                </c:pt>
                <c:pt idx="2">
                  <c:v>地级城市及以下</c:v>
                </c:pt>
              </c:strCache>
            </c:strRef>
          </c:cat>
          <c:val>
            <c:numRef>
              <c:f>Sheet1!$B$2:$D$2</c:f>
              <c:numCache>
                <c:formatCode>0.00%</c:formatCode>
                <c:ptCount val="3"/>
                <c:pt idx="0">
                  <c:v>0.947</c:v>
                </c:pt>
                <c:pt idx="1">
                  <c:v>0.0265</c:v>
                </c:pt>
                <c:pt idx="2">
                  <c:v>0.0265</c:v>
                </c:pt>
              </c:numCache>
            </c:numRef>
          </c:val>
          <c:smooth val="0"/>
        </c:ser>
        <c:ser>
          <c:idx val="1"/>
          <c:order val="1"/>
          <c:tx>
            <c:strRef>
              <c:f>Sheet1!$A$3</c:f>
              <c:strCache>
                <c:ptCount val="1"/>
                <c:pt idx="0">
                  <c:v>期望首选</c:v>
                </c:pt>
              </c:strCache>
            </c:strRef>
          </c:tx>
          <c:spPr>
            <a:ln w="28575" cap="rnd" cmpd="sng" algn="ctr">
              <a:solidFill>
                <a:schemeClr val="accent5">
                  <a:tint val="77000"/>
                  <a:shade val="95000"/>
                  <a:satMod val="105000"/>
                </a:schemeClr>
              </a:solidFill>
              <a:prstDash val="solid"/>
              <a:round/>
            </a:ln>
            <a:effectLst/>
          </c:spPr>
          <c:marker>
            <c:spPr>
              <a:solidFill>
                <a:schemeClr val="accent5">
                  <a:tint val="77000"/>
                </a:schemeClr>
              </a:solidFill>
              <a:ln w="9525" cap="flat" cmpd="sng" algn="ctr">
                <a:solidFill>
                  <a:schemeClr val="accent5">
                    <a:tint val="77000"/>
                    <a:shade val="95000"/>
                    <a:satMod val="105000"/>
                  </a:schemeClr>
                </a:solidFill>
                <a:prstDash val="solid"/>
                <a:round/>
              </a:ln>
              <a:effectLst/>
            </c:spPr>
          </c:marker>
          <c:dLbls>
            <c:delete val="1"/>
          </c:dLbls>
          <c:cat>
            <c:strRef>
              <c:f>Sheet1!$B$1:$D$1</c:f>
              <c:strCache>
                <c:ptCount val="3"/>
                <c:pt idx="0">
                  <c:v>直辖市</c:v>
                </c:pt>
                <c:pt idx="1">
                  <c:v>副省级城市</c:v>
                </c:pt>
                <c:pt idx="2">
                  <c:v>地级城市及以下</c:v>
                </c:pt>
              </c:strCache>
            </c:strRef>
          </c:cat>
          <c:val>
            <c:numRef>
              <c:f>Sheet1!$B$3:$D$3</c:f>
              <c:numCache>
                <c:formatCode>0.00%</c:formatCode>
                <c:ptCount val="3"/>
                <c:pt idx="0">
                  <c:v>0.9801</c:v>
                </c:pt>
                <c:pt idx="1">
                  <c:v>0.0199000000000001</c:v>
                </c:pt>
              </c:numCache>
            </c:numRef>
          </c:val>
          <c:smooth val="0"/>
        </c:ser>
        <c:dLbls>
          <c:showLegendKey val="0"/>
          <c:showVal val="0"/>
          <c:showCatName val="0"/>
          <c:showSerName val="0"/>
          <c:showPercent val="0"/>
          <c:showBubbleSize val="0"/>
        </c:dLbls>
        <c:marker val="1"/>
        <c:smooth val="0"/>
        <c:axId val="356604928"/>
        <c:axId val="356627584"/>
      </c:lineChart>
      <c:catAx>
        <c:axId val="35660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6627584"/>
        <c:crosses val="autoZero"/>
        <c:auto val="1"/>
        <c:lblAlgn val="ctr"/>
        <c:lblOffset val="100"/>
        <c:noMultiLvlLbl val="0"/>
      </c:catAx>
      <c:valAx>
        <c:axId val="356627584"/>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6604928"/>
        <c:crosses val="autoZero"/>
        <c:crossBetween val="between"/>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dTable>
      <c:spPr>
        <a:noFill/>
        <a:ln>
          <a:noFill/>
        </a:ln>
        <a:effectLst/>
      </c:spPr>
    </c:plotArea>
    <c:plotVisOnly val="1"/>
    <c:dispBlanksAs val="gap"/>
    <c:showDLblsOverMax val="0"/>
  </c:chart>
  <c:spPr>
    <a:no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c:f>
              <c:strCache>
                <c:ptCount val="1"/>
                <c:pt idx="0">
                  <c:v>最终落实</c:v>
                </c:pt>
              </c:strCache>
            </c:strRef>
          </c:tx>
          <c:spPr>
            <a:effectLst/>
          </c:spPr>
          <c:dLbls>
            <c:delete val="1"/>
          </c:dLbls>
          <c:cat>
            <c:strRef>
              <c:f>Sheet1!$B$1:$G$1</c:f>
              <c:strCache>
                <c:ptCount val="6"/>
                <c:pt idx="0">
                  <c:v>机关</c:v>
                </c:pt>
                <c:pt idx="1">
                  <c:v>事业单位</c:v>
                </c:pt>
                <c:pt idx="2">
                  <c:v>国有企业</c:v>
                </c:pt>
                <c:pt idx="3">
                  <c:v>三资企业</c:v>
                </c:pt>
                <c:pt idx="4">
                  <c:v>民营/私营企业</c:v>
                </c:pt>
                <c:pt idx="5">
                  <c:v>其他</c:v>
                </c:pt>
              </c:strCache>
            </c:strRef>
          </c:cat>
          <c:val>
            <c:numRef>
              <c:f>Sheet1!$B$2:$G$2</c:f>
              <c:numCache>
                <c:formatCode>0.00%</c:formatCode>
                <c:ptCount val="6"/>
                <c:pt idx="0">
                  <c:v>0.0265</c:v>
                </c:pt>
                <c:pt idx="1">
                  <c:v>0.1523</c:v>
                </c:pt>
                <c:pt idx="2">
                  <c:v>0.0728</c:v>
                </c:pt>
                <c:pt idx="3">
                  <c:v>0.0265</c:v>
                </c:pt>
                <c:pt idx="4">
                  <c:v>0.4636</c:v>
                </c:pt>
                <c:pt idx="5">
                  <c:v>0.2583</c:v>
                </c:pt>
              </c:numCache>
            </c:numRef>
          </c:val>
          <c:smooth val="0"/>
        </c:ser>
        <c:ser>
          <c:idx val="1"/>
          <c:order val="1"/>
          <c:tx>
            <c:strRef>
              <c:f>Sheet1!$A$3</c:f>
              <c:strCache>
                <c:ptCount val="1"/>
                <c:pt idx="0">
                  <c:v>期望首选</c:v>
                </c:pt>
              </c:strCache>
            </c:strRef>
          </c:tx>
          <c:spPr>
            <a:ln w="28575" cap="rnd" cmpd="sng" algn="ctr">
              <a:solidFill>
                <a:schemeClr val="accent5">
                  <a:tint val="77000"/>
                  <a:shade val="95000"/>
                  <a:satMod val="105000"/>
                </a:schemeClr>
              </a:solidFill>
              <a:prstDash val="solid"/>
              <a:round/>
            </a:ln>
            <a:effectLst/>
          </c:spPr>
          <c:marker>
            <c:spPr>
              <a:solidFill>
                <a:schemeClr val="accent5">
                  <a:tint val="77000"/>
                </a:schemeClr>
              </a:solidFill>
              <a:ln w="9525" cap="flat" cmpd="sng" algn="ctr">
                <a:solidFill>
                  <a:schemeClr val="accent5">
                    <a:tint val="77000"/>
                    <a:shade val="95000"/>
                    <a:satMod val="105000"/>
                  </a:schemeClr>
                </a:solidFill>
                <a:prstDash val="solid"/>
                <a:round/>
              </a:ln>
              <a:effectLst/>
            </c:spPr>
          </c:marker>
          <c:dLbls>
            <c:delete val="1"/>
          </c:dLbls>
          <c:cat>
            <c:strRef>
              <c:f>Sheet1!$B$1:$G$1</c:f>
              <c:strCache>
                <c:ptCount val="6"/>
                <c:pt idx="0">
                  <c:v>机关</c:v>
                </c:pt>
                <c:pt idx="1">
                  <c:v>事业单位</c:v>
                </c:pt>
                <c:pt idx="2">
                  <c:v>国有企业</c:v>
                </c:pt>
                <c:pt idx="3">
                  <c:v>三资企业</c:v>
                </c:pt>
                <c:pt idx="4">
                  <c:v>民营/私营企业</c:v>
                </c:pt>
                <c:pt idx="5">
                  <c:v>其他</c:v>
                </c:pt>
              </c:strCache>
            </c:strRef>
          </c:cat>
          <c:val>
            <c:numRef>
              <c:f>Sheet1!$B$3:$G$3</c:f>
              <c:numCache>
                <c:formatCode>0.00%</c:formatCode>
                <c:ptCount val="6"/>
                <c:pt idx="0">
                  <c:v>0.0331</c:v>
                </c:pt>
                <c:pt idx="1">
                  <c:v>0.1656</c:v>
                </c:pt>
                <c:pt idx="2">
                  <c:v>0.1258</c:v>
                </c:pt>
                <c:pt idx="3">
                  <c:v>0.0331</c:v>
                </c:pt>
                <c:pt idx="4">
                  <c:v>0.4106</c:v>
                </c:pt>
                <c:pt idx="5">
                  <c:v>0.2318</c:v>
                </c:pt>
              </c:numCache>
            </c:numRef>
          </c:val>
          <c:smooth val="0"/>
        </c:ser>
        <c:dLbls>
          <c:showLegendKey val="0"/>
          <c:showVal val="0"/>
          <c:showCatName val="0"/>
          <c:showSerName val="0"/>
          <c:showPercent val="0"/>
          <c:showBubbleSize val="0"/>
        </c:dLbls>
        <c:marker val="1"/>
        <c:smooth val="0"/>
        <c:axId val="357433344"/>
        <c:axId val="357434496"/>
      </c:lineChart>
      <c:catAx>
        <c:axId val="35743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7434496"/>
        <c:crosses val="autoZero"/>
        <c:auto val="1"/>
        <c:lblAlgn val="ctr"/>
        <c:lblOffset val="100"/>
        <c:noMultiLvlLbl val="0"/>
      </c:catAx>
      <c:valAx>
        <c:axId val="357434496"/>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7433344"/>
        <c:crosses val="autoZero"/>
        <c:crossBetween val="between"/>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dTable>
      <c:spPr>
        <a:noFill/>
        <a:ln>
          <a:noFill/>
        </a:ln>
        <a:effectLst/>
      </c:spPr>
    </c:plotArea>
    <c:plotVisOnly val="1"/>
    <c:dispBlanksAs val="gap"/>
    <c:showDLblsOverMax val="0"/>
  </c:chart>
  <c:spPr>
    <a:no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c:f>
              <c:strCache>
                <c:ptCount val="1"/>
                <c:pt idx="0">
                  <c:v>本科生</c:v>
                </c:pt>
              </c:strCache>
            </c:strRef>
          </c:tx>
          <c:spPr>
            <a:effectLst/>
          </c:spPr>
          <c:dLbls>
            <c:delete val="1"/>
          </c:dLbls>
          <c:cat>
            <c:strRef>
              <c:f>Sheet1!$B$1:$H$1</c:f>
              <c:strCache>
                <c:ptCount val="7"/>
                <c:pt idx="0">
                  <c:v>高等教育单位</c:v>
                </c:pt>
                <c:pt idx="1">
                  <c:v>中初教育单位</c:v>
                </c:pt>
                <c:pt idx="2">
                  <c:v>其他事业单位</c:v>
                </c:pt>
                <c:pt idx="3">
                  <c:v>国有企业</c:v>
                </c:pt>
                <c:pt idx="4">
                  <c:v>其他企业(民营/私营企业等)</c:v>
                </c:pt>
                <c:pt idx="5">
                  <c:v>部队</c:v>
                </c:pt>
                <c:pt idx="6">
                  <c:v>其他</c:v>
                </c:pt>
              </c:strCache>
            </c:strRef>
          </c:cat>
          <c:val>
            <c:numRef>
              <c:f>Sheet1!$B$2:$H$2</c:f>
              <c:numCache>
                <c:formatCode>0.00%</c:formatCode>
                <c:ptCount val="7"/>
                <c:pt idx="0">
                  <c:v>0.0036</c:v>
                </c:pt>
                <c:pt idx="2">
                  <c:v>0.0982</c:v>
                </c:pt>
                <c:pt idx="4">
                  <c:v>0.2836</c:v>
                </c:pt>
                <c:pt idx="6">
                  <c:v>0.6145</c:v>
                </c:pt>
              </c:numCache>
            </c:numRef>
          </c:val>
          <c:smooth val="0"/>
        </c:ser>
        <c:ser>
          <c:idx val="1"/>
          <c:order val="1"/>
          <c:tx>
            <c:strRef>
              <c:f>Sheet1!$A$3</c:f>
              <c:strCache>
                <c:ptCount val="1"/>
                <c:pt idx="0">
                  <c:v>硕士生</c:v>
                </c:pt>
              </c:strCache>
            </c:strRef>
          </c:tx>
          <c:spPr>
            <a:ln w="28575" cap="rnd" cmpd="sng" algn="ctr">
              <a:solidFill>
                <a:schemeClr val="accent5">
                  <a:tint val="77000"/>
                  <a:shade val="95000"/>
                  <a:satMod val="105000"/>
                </a:schemeClr>
              </a:solidFill>
              <a:prstDash val="solid"/>
              <a:round/>
            </a:ln>
            <a:effectLst/>
          </c:spPr>
          <c:marker>
            <c:spPr>
              <a:solidFill>
                <a:schemeClr val="accent5">
                  <a:tint val="77000"/>
                </a:schemeClr>
              </a:solidFill>
              <a:ln w="9525" cap="flat" cmpd="sng" algn="ctr">
                <a:solidFill>
                  <a:schemeClr val="accent5">
                    <a:tint val="77000"/>
                    <a:shade val="95000"/>
                    <a:satMod val="105000"/>
                  </a:schemeClr>
                </a:solidFill>
                <a:prstDash val="solid"/>
                <a:round/>
              </a:ln>
              <a:effectLst/>
            </c:spPr>
          </c:marker>
          <c:dLbls>
            <c:delete val="1"/>
          </c:dLbls>
          <c:cat>
            <c:strRef>
              <c:f>Sheet1!$B$1:$H$1</c:f>
              <c:strCache>
                <c:ptCount val="7"/>
                <c:pt idx="0">
                  <c:v>高等教育单位</c:v>
                </c:pt>
                <c:pt idx="1">
                  <c:v>中初教育单位</c:v>
                </c:pt>
                <c:pt idx="2">
                  <c:v>其他事业单位</c:v>
                </c:pt>
                <c:pt idx="3">
                  <c:v>国有企业</c:v>
                </c:pt>
                <c:pt idx="4">
                  <c:v>其他企业(民营/私营企业等)</c:v>
                </c:pt>
                <c:pt idx="5">
                  <c:v>部队</c:v>
                </c:pt>
                <c:pt idx="6">
                  <c:v>其他</c:v>
                </c:pt>
              </c:strCache>
            </c:strRef>
          </c:cat>
          <c:val>
            <c:numRef>
              <c:f>Sheet1!$B$3:$H$3</c:f>
              <c:numCache>
                <c:formatCode>0.00%</c:formatCode>
                <c:ptCount val="7"/>
                <c:pt idx="0">
                  <c:v>0.175</c:v>
                </c:pt>
                <c:pt idx="1">
                  <c:v>0.025</c:v>
                </c:pt>
                <c:pt idx="2">
                  <c:v>0.175</c:v>
                </c:pt>
                <c:pt idx="3">
                  <c:v>0.025</c:v>
                </c:pt>
                <c:pt idx="4">
                  <c:v>0.2</c:v>
                </c:pt>
                <c:pt idx="5">
                  <c:v>0.0125</c:v>
                </c:pt>
                <c:pt idx="6">
                  <c:v>0.3875</c:v>
                </c:pt>
              </c:numCache>
            </c:numRef>
          </c:val>
          <c:smooth val="0"/>
        </c:ser>
        <c:ser>
          <c:idx val="2"/>
          <c:order val="2"/>
          <c:tx>
            <c:strRef>
              <c:f>Sheet1!$A$4</c:f>
              <c:strCache>
                <c:ptCount val="1"/>
                <c:pt idx="0">
                  <c:v>博士生</c:v>
                </c:pt>
              </c:strCache>
            </c:strRef>
          </c:tx>
          <c:dLbls>
            <c:delete val="1"/>
          </c:dLbls>
          <c:cat>
            <c:strRef>
              <c:f>Sheet1!$B$1:$H$1</c:f>
              <c:strCache>
                <c:ptCount val="7"/>
                <c:pt idx="0">
                  <c:v>高等教育单位</c:v>
                </c:pt>
                <c:pt idx="1">
                  <c:v>中初教育单位</c:v>
                </c:pt>
                <c:pt idx="2">
                  <c:v>其他事业单位</c:v>
                </c:pt>
                <c:pt idx="3">
                  <c:v>国有企业</c:v>
                </c:pt>
                <c:pt idx="4">
                  <c:v>其他企业(民营/私营企业等)</c:v>
                </c:pt>
                <c:pt idx="5">
                  <c:v>部队</c:v>
                </c:pt>
                <c:pt idx="6">
                  <c:v>其他</c:v>
                </c:pt>
              </c:strCache>
            </c:strRef>
          </c:cat>
          <c:val>
            <c:numRef>
              <c:f>Sheet1!$B$4:$H$4</c:f>
              <c:numCache>
                <c:formatCode>0.00%</c:formatCode>
                <c:ptCount val="7"/>
                <c:pt idx="0">
                  <c:v>0.5</c:v>
                </c:pt>
                <c:pt idx="2">
                  <c:v>0.45</c:v>
                </c:pt>
                <c:pt idx="4">
                  <c:v>0.05</c:v>
                </c:pt>
              </c:numCache>
            </c:numRef>
          </c:val>
          <c:smooth val="0"/>
        </c:ser>
        <c:ser>
          <c:idx val="3"/>
          <c:order val="3"/>
          <c:tx>
            <c:strRef>
              <c:f>Sheet1!$A$5</c:f>
              <c:strCache>
                <c:ptCount val="1"/>
                <c:pt idx="0">
                  <c:v>总体</c:v>
                </c:pt>
              </c:strCache>
            </c:strRef>
          </c:tx>
          <c:dLbls>
            <c:delete val="1"/>
          </c:dLbls>
          <c:cat>
            <c:strRef>
              <c:f>Sheet1!$B$1:$H$1</c:f>
              <c:strCache>
                <c:ptCount val="7"/>
                <c:pt idx="0">
                  <c:v>高等教育单位</c:v>
                </c:pt>
                <c:pt idx="1">
                  <c:v>中初教育单位</c:v>
                </c:pt>
                <c:pt idx="2">
                  <c:v>其他事业单位</c:v>
                </c:pt>
                <c:pt idx="3">
                  <c:v>国有企业</c:v>
                </c:pt>
                <c:pt idx="4">
                  <c:v>其他企业(民营/私营企业等)</c:v>
                </c:pt>
                <c:pt idx="5">
                  <c:v>部队</c:v>
                </c:pt>
                <c:pt idx="6">
                  <c:v>其他</c:v>
                </c:pt>
              </c:strCache>
            </c:strRef>
          </c:cat>
          <c:val>
            <c:numRef>
              <c:f>Sheet1!$B$5:$H$5</c:f>
              <c:numCache>
                <c:formatCode>0.00%</c:formatCode>
                <c:ptCount val="7"/>
                <c:pt idx="0">
                  <c:v>0.0667</c:v>
                </c:pt>
                <c:pt idx="1">
                  <c:v>0.0053</c:v>
                </c:pt>
                <c:pt idx="2">
                  <c:v>0.1333</c:v>
                </c:pt>
                <c:pt idx="3">
                  <c:v>0.0053</c:v>
                </c:pt>
                <c:pt idx="4">
                  <c:v>0.2533</c:v>
                </c:pt>
                <c:pt idx="5">
                  <c:v>0.0027</c:v>
                </c:pt>
                <c:pt idx="6">
                  <c:v>0.5333</c:v>
                </c:pt>
              </c:numCache>
            </c:numRef>
          </c:val>
          <c:smooth val="0"/>
        </c:ser>
        <c:dLbls>
          <c:showLegendKey val="0"/>
          <c:showVal val="0"/>
          <c:showCatName val="0"/>
          <c:showSerName val="0"/>
          <c:showPercent val="0"/>
          <c:showBubbleSize val="0"/>
        </c:dLbls>
        <c:marker val="1"/>
        <c:smooth val="0"/>
        <c:axId val="325694976"/>
        <c:axId val="325696512"/>
      </c:lineChart>
      <c:catAx>
        <c:axId val="32569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5696512"/>
        <c:crosses val="autoZero"/>
        <c:auto val="1"/>
        <c:lblAlgn val="ctr"/>
        <c:lblOffset val="100"/>
        <c:noMultiLvlLbl val="0"/>
      </c:catAx>
      <c:valAx>
        <c:axId val="32569651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5694976"/>
        <c:crosses val="autoZero"/>
        <c:crossBetween val="between"/>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dTable>
      <c:spPr>
        <a:noFill/>
        <a:ln>
          <a:noFill/>
        </a:ln>
        <a:effectLst/>
      </c:spPr>
    </c:plotArea>
    <c:plotVisOnly val="1"/>
    <c:dispBlanksAs val="gap"/>
    <c:showDLblsOverMax val="0"/>
  </c:chart>
  <c:spPr>
    <a:no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c:f>
              <c:strCache>
                <c:ptCount val="1"/>
                <c:pt idx="0">
                  <c:v>最终落实</c:v>
                </c:pt>
              </c:strCache>
            </c:strRef>
          </c:tx>
          <c:spPr>
            <a:effectLst/>
          </c:spPr>
          <c:dLbls>
            <c:delete val="1"/>
          </c:dLbls>
          <c:cat>
            <c:strRef>
              <c:f>Sheet1!$B$1:$J$1</c:f>
              <c:strCache>
                <c:ptCount val="9"/>
                <c:pt idx="0">
                  <c:v>农、林、牧、渔业</c:v>
                </c:pt>
                <c:pt idx="1">
                  <c:v>采矿/建筑/水电气业</c:v>
                </c:pt>
                <c:pt idx="2">
                  <c:v>商业服务业</c:v>
                </c:pt>
                <c:pt idx="3">
                  <c:v>信息产业</c:v>
                </c:pt>
                <c:pt idx="4">
                  <c:v>金融地产业</c:v>
                </c:pt>
                <c:pt idx="5">
                  <c:v>教育及科研行业</c:v>
                </c:pt>
                <c:pt idx="6">
                  <c:v>文化、体育和娱乐业</c:v>
                </c:pt>
                <c:pt idx="7">
                  <c:v>社会服务与管理行业</c:v>
                </c:pt>
                <c:pt idx="8">
                  <c:v>其他行业</c:v>
                </c:pt>
              </c:strCache>
            </c:strRef>
          </c:cat>
          <c:val>
            <c:numRef>
              <c:f>Sheet1!$B$2:$J$2</c:f>
              <c:numCache>
                <c:formatCode>0.00%</c:formatCode>
                <c:ptCount val="9"/>
                <c:pt idx="0">
                  <c:v>0.0066</c:v>
                </c:pt>
                <c:pt idx="2">
                  <c:v>0.0265</c:v>
                </c:pt>
                <c:pt idx="3">
                  <c:v>0.0066</c:v>
                </c:pt>
                <c:pt idx="5">
                  <c:v>0.0199000000000001</c:v>
                </c:pt>
                <c:pt idx="6">
                  <c:v>0.8212</c:v>
                </c:pt>
                <c:pt idx="7">
                  <c:v>0.0066</c:v>
                </c:pt>
                <c:pt idx="8">
                  <c:v>0.1126</c:v>
                </c:pt>
              </c:numCache>
            </c:numRef>
          </c:val>
          <c:smooth val="0"/>
        </c:ser>
        <c:ser>
          <c:idx val="1"/>
          <c:order val="1"/>
          <c:tx>
            <c:strRef>
              <c:f>Sheet1!$A$3</c:f>
              <c:strCache>
                <c:ptCount val="1"/>
                <c:pt idx="0">
                  <c:v>期望首选</c:v>
                </c:pt>
              </c:strCache>
            </c:strRef>
          </c:tx>
          <c:spPr>
            <a:ln w="28575" cap="rnd" cmpd="sng" algn="ctr">
              <a:solidFill>
                <a:schemeClr val="accent5">
                  <a:tint val="77000"/>
                  <a:shade val="95000"/>
                  <a:satMod val="105000"/>
                </a:schemeClr>
              </a:solidFill>
              <a:prstDash val="solid"/>
              <a:round/>
            </a:ln>
            <a:effectLst/>
          </c:spPr>
          <c:marker>
            <c:spPr>
              <a:solidFill>
                <a:schemeClr val="accent5">
                  <a:tint val="77000"/>
                </a:schemeClr>
              </a:solidFill>
              <a:ln w="9525" cap="flat" cmpd="sng" algn="ctr">
                <a:solidFill>
                  <a:schemeClr val="accent5">
                    <a:tint val="77000"/>
                    <a:shade val="95000"/>
                    <a:satMod val="105000"/>
                  </a:schemeClr>
                </a:solidFill>
                <a:prstDash val="solid"/>
                <a:round/>
              </a:ln>
              <a:effectLst/>
            </c:spPr>
          </c:marker>
          <c:dLbls>
            <c:delete val="1"/>
          </c:dLbls>
          <c:cat>
            <c:strRef>
              <c:f>Sheet1!$B$1:$J$1</c:f>
              <c:strCache>
                <c:ptCount val="9"/>
                <c:pt idx="0">
                  <c:v>农、林、牧、渔业</c:v>
                </c:pt>
                <c:pt idx="1">
                  <c:v>采矿/建筑/水电气业</c:v>
                </c:pt>
                <c:pt idx="2">
                  <c:v>商业服务业</c:v>
                </c:pt>
                <c:pt idx="3">
                  <c:v>信息产业</c:v>
                </c:pt>
                <c:pt idx="4">
                  <c:v>金融地产业</c:v>
                </c:pt>
                <c:pt idx="5">
                  <c:v>教育及科研行业</c:v>
                </c:pt>
                <c:pt idx="6">
                  <c:v>文化、体育和娱乐业</c:v>
                </c:pt>
                <c:pt idx="7">
                  <c:v>社会服务与管理行业</c:v>
                </c:pt>
                <c:pt idx="8">
                  <c:v>其他行业</c:v>
                </c:pt>
              </c:strCache>
            </c:strRef>
          </c:cat>
          <c:val>
            <c:numRef>
              <c:f>Sheet1!$B$3:$J$3</c:f>
              <c:numCache>
                <c:formatCode>0.00%</c:formatCode>
                <c:ptCount val="9"/>
                <c:pt idx="0">
                  <c:v>0.0066</c:v>
                </c:pt>
                <c:pt idx="1">
                  <c:v>0.0066</c:v>
                </c:pt>
                <c:pt idx="2">
                  <c:v>0.0132</c:v>
                </c:pt>
                <c:pt idx="3">
                  <c:v>0.0066</c:v>
                </c:pt>
                <c:pt idx="4">
                  <c:v>0.0066</c:v>
                </c:pt>
                <c:pt idx="5">
                  <c:v>0.0199000000000001</c:v>
                </c:pt>
                <c:pt idx="6">
                  <c:v>0.8013</c:v>
                </c:pt>
                <c:pt idx="7">
                  <c:v>0.0066</c:v>
                </c:pt>
                <c:pt idx="8">
                  <c:v>0.1325</c:v>
                </c:pt>
              </c:numCache>
            </c:numRef>
          </c:val>
          <c:smooth val="0"/>
        </c:ser>
        <c:dLbls>
          <c:showLegendKey val="0"/>
          <c:showVal val="0"/>
          <c:showCatName val="0"/>
          <c:showSerName val="0"/>
          <c:showPercent val="0"/>
          <c:showBubbleSize val="0"/>
        </c:dLbls>
        <c:marker val="1"/>
        <c:smooth val="0"/>
        <c:axId val="383060992"/>
        <c:axId val="383071360"/>
      </c:lineChart>
      <c:catAx>
        <c:axId val="38306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83071360"/>
        <c:crosses val="autoZero"/>
        <c:auto val="1"/>
        <c:lblAlgn val="ctr"/>
        <c:lblOffset val="100"/>
        <c:noMultiLvlLbl val="0"/>
      </c:catAx>
      <c:valAx>
        <c:axId val="383071360"/>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83060992"/>
        <c:crosses val="autoZero"/>
        <c:crossBetween val="between"/>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dTable>
      <c:spPr>
        <a:noFill/>
        <a:ln>
          <a:noFill/>
        </a:ln>
        <a:effectLst/>
      </c:spPr>
    </c:plotArea>
    <c:plotVisOnly val="1"/>
    <c:dispBlanksAs val="gap"/>
    <c:showDLblsOverMax val="0"/>
  </c:chart>
  <c:spPr>
    <a:no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755711335456109"/>
          <c:y val="0.0251858014240174"/>
          <c:w val="0.91606940981907"/>
          <c:h val="0.862654721961763"/>
        </c:manualLayout>
      </c:layout>
      <c:barChart>
        <c:barDir val="col"/>
        <c:grouping val="clustered"/>
        <c:varyColors val="0"/>
        <c:ser>
          <c:idx val="0"/>
          <c:order val="0"/>
          <c:tx>
            <c:strRef>
              <c:f>Sheet1!$B$1</c:f>
              <c:strCache>
                <c:ptCount val="1"/>
                <c:pt idx="0">
                  <c:v/>
                </c:pt>
              </c:strCache>
            </c:strRef>
          </c:tx>
          <c:spPr>
            <a:solidFill>
              <a:schemeClr val="accent5">
                <a:alpha val="80000"/>
              </a:schemeClr>
            </a:solidFill>
            <a:ln>
              <a:noFill/>
            </a:ln>
            <a:effectLst/>
          </c:spPr>
          <c:invertIfNegative val="0"/>
          <c:dPt>
            <c:idx val="0"/>
            <c:invertIfNegative val="0"/>
            <c:bubble3D val="0"/>
            <c:spPr>
              <a:solidFill>
                <a:srgbClr val="358DA5">
                  <a:alpha val="80000"/>
                </a:srgbClr>
              </a:solidFill>
              <a:ln>
                <a:noFill/>
              </a:ln>
              <a:effectLst/>
            </c:spPr>
          </c:dPt>
          <c:dPt>
            <c:idx val="1"/>
            <c:invertIfNegative val="0"/>
            <c:bubble3D val="0"/>
            <c:spPr>
              <a:solidFill>
                <a:srgbClr val="358DA5">
                  <a:alpha val="80000"/>
                </a:srgbClr>
              </a:solidFill>
              <a:ln>
                <a:noFill/>
              </a:ln>
              <a:effectLst/>
            </c:spPr>
          </c:dPt>
          <c:dPt>
            <c:idx val="3"/>
            <c:invertIfNegative val="0"/>
            <c:bubble3D val="0"/>
            <c:spPr>
              <a:solidFill>
                <a:schemeClr val="accent5">
                  <a:lumMod val="60000"/>
                  <a:lumOff val="40000"/>
                  <a:alpha val="80000"/>
                </a:schemeClr>
              </a:solidFill>
              <a:ln>
                <a:noFill/>
              </a:ln>
              <a:effectLst/>
            </c:spPr>
          </c:dPt>
          <c:dLbls>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0"/>
                <c15:leaderLines/>
              </c:ext>
            </c:extLst>
          </c:dLbls>
          <c:cat>
            <c:strRef>
              <c:f>Sheet1!$A$2:$A$5</c:f>
              <c:strCache>
                <c:ptCount val="4"/>
                <c:pt idx="0">
                  <c:v>很满意</c:v>
                </c:pt>
                <c:pt idx="1">
                  <c:v>满意</c:v>
                </c:pt>
                <c:pt idx="2">
                  <c:v>不好说</c:v>
                </c:pt>
                <c:pt idx="3">
                  <c:v>不满意</c:v>
                </c:pt>
              </c:strCache>
            </c:strRef>
          </c:cat>
          <c:val>
            <c:numRef>
              <c:f>Sheet1!$B$2:$B$5</c:f>
              <c:numCache>
                <c:formatCode>0.0%</c:formatCode>
                <c:ptCount val="4"/>
                <c:pt idx="0">
                  <c:v>0.2318</c:v>
                </c:pt>
                <c:pt idx="1">
                  <c:v>0.397400000000001</c:v>
                </c:pt>
                <c:pt idx="2">
                  <c:v>0.284800000000001</c:v>
                </c:pt>
                <c:pt idx="3">
                  <c:v>0.0861</c:v>
                </c:pt>
              </c:numCache>
            </c:numRef>
          </c:val>
          <c:extLst>
            <c:ext xmlns:c15="http://schemas.microsoft.com/office/drawing/2012/chart" uri="{02D57815-91ED-43cb-92C2-25804820EDAC}">
              <c15:datalabelsRange>
                <c15:f>Sheet1!$C$2:$C$6</c15:f>
                <c15:dlblRangeCache>
                  <c:ptCount val="5"/>
                </c15:dlblRangeCache>
              </c15:datalabelsRange>
            </c:ext>
          </c:extLst>
        </c:ser>
        <c:dLbls>
          <c:showLegendKey val="0"/>
          <c:showVal val="0"/>
          <c:showCatName val="0"/>
          <c:showSerName val="0"/>
          <c:showPercent val="0"/>
          <c:showBubbleSize val="0"/>
        </c:dLbls>
        <c:gapWidth val="182"/>
        <c:axId val="357950592"/>
        <c:axId val="357952128"/>
      </c:barChart>
      <c:catAx>
        <c:axId val="35795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57952128"/>
        <c:crosses val="autoZero"/>
        <c:auto val="1"/>
        <c:lblAlgn val="ctr"/>
        <c:lblOffset val="100"/>
        <c:noMultiLvlLbl val="0"/>
      </c:catAx>
      <c:valAx>
        <c:axId val="357952128"/>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57950592"/>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ln>
            <a:noFill/>
          </a:ln>
        </a:defRPr>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10734463276838"/>
          <c:y val="0.0547263681592041"/>
          <c:w val="0.953528328824055"/>
          <c:h val="0.608090748313116"/>
        </c:manualLayout>
      </c:layout>
      <c:lineChart>
        <c:grouping val="standard"/>
        <c:varyColors val="0"/>
        <c:ser>
          <c:idx val="0"/>
          <c:order val="0"/>
          <c:tx>
            <c:strRef>
              <c:f>Sheet1!$B$1</c:f>
              <c:strCache>
                <c:ptCount val="1"/>
                <c:pt idx="0">
                  <c:v/>
                </c:pt>
              </c:strCache>
            </c:strRef>
          </c:tx>
          <c:spPr>
            <a:ln w="31750" cap="rnd" cmpd="sng" algn="ctr">
              <a:solidFill>
                <a:schemeClr val="accent5"/>
              </a:solidFill>
              <a:prstDash val="solid"/>
              <a:round/>
            </a:ln>
            <a:effectLst/>
          </c:spPr>
          <c:marker>
            <c:symbol val="circle"/>
            <c:size val="17"/>
            <c:spPr>
              <a:solidFill>
                <a:schemeClr val="accent5"/>
              </a:solidFill>
              <a:ln w="9525" cap="flat" cmpd="sng" algn="ctr">
                <a:noFill/>
                <a:prstDash val="solid"/>
                <a:round/>
              </a:ln>
              <a:effectLst/>
            </c:spPr>
          </c:marker>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Sheet1!$A$2:$A$13</c:f>
              <c:strCache>
                <c:ptCount val="12"/>
                <c:pt idx="0">
                  <c:v>表演</c:v>
                </c:pt>
                <c:pt idx="1">
                  <c:v>表演（戏剧影视表演）</c:v>
                </c:pt>
                <c:pt idx="2">
                  <c:v>表演（音乐剧）</c:v>
                </c:pt>
                <c:pt idx="3">
                  <c:v>导演（演出制作）</c:v>
                </c:pt>
                <c:pt idx="4">
                  <c:v>导演（影视编导）</c:v>
                </c:pt>
                <c:pt idx="5">
                  <c:v>戏剧学(戏剧史论与批评)</c:v>
                </c:pt>
                <c:pt idx="6">
                  <c:v>戏剧影视导演</c:v>
                </c:pt>
                <c:pt idx="7">
                  <c:v>戏剧影视美术设计(舞台灯光)</c:v>
                </c:pt>
                <c:pt idx="8">
                  <c:v>戏剧影视美术设计(舞台服装)</c:v>
                </c:pt>
                <c:pt idx="9">
                  <c:v>戏剧影视美术设计(舞台化装)</c:v>
                </c:pt>
                <c:pt idx="10">
                  <c:v>戏剧影视美术设计(舞台技术)</c:v>
                </c:pt>
                <c:pt idx="11">
                  <c:v>戏剧影视文学(电视剧创作)</c:v>
                </c:pt>
              </c:strCache>
            </c:strRef>
          </c:cat>
          <c:val>
            <c:numRef>
              <c:f>Sheet1!$B$2:$B$13</c:f>
              <c:numCache>
                <c:formatCode>0.0_);[Red]\(0.0\)</c:formatCode>
                <c:ptCount val="12"/>
                <c:pt idx="0">
                  <c:v>3.63</c:v>
                </c:pt>
                <c:pt idx="1">
                  <c:v>3.97</c:v>
                </c:pt>
                <c:pt idx="2">
                  <c:v>4</c:v>
                </c:pt>
                <c:pt idx="3">
                  <c:v>5</c:v>
                </c:pt>
                <c:pt idx="4">
                  <c:v>3.33</c:v>
                </c:pt>
                <c:pt idx="5">
                  <c:v>3.9</c:v>
                </c:pt>
                <c:pt idx="6">
                  <c:v>3.73</c:v>
                </c:pt>
                <c:pt idx="7">
                  <c:v>3.63</c:v>
                </c:pt>
                <c:pt idx="8">
                  <c:v>3.57</c:v>
                </c:pt>
                <c:pt idx="9">
                  <c:v>3.13</c:v>
                </c:pt>
                <c:pt idx="10">
                  <c:v>3.89</c:v>
                </c:pt>
                <c:pt idx="11">
                  <c:v>3.6</c:v>
                </c:pt>
              </c:numCache>
            </c:numRef>
          </c:val>
          <c:smooth val="0"/>
        </c:ser>
        <c:dLbls>
          <c:showLegendKey val="0"/>
          <c:showVal val="1"/>
          <c:showCatName val="0"/>
          <c:showSerName val="0"/>
          <c:showPercent val="0"/>
          <c:showBubbleSize val="0"/>
        </c:dLbls>
        <c:marker val="1"/>
        <c:smooth val="0"/>
        <c:axId val="357467648"/>
        <c:axId val="357900672"/>
      </c:lineChart>
      <c:catAx>
        <c:axId val="3574676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57900672"/>
        <c:crosses val="autoZero"/>
        <c:auto val="1"/>
        <c:lblAlgn val="ctr"/>
        <c:lblOffset val="100"/>
        <c:tickLblSkip val="1"/>
        <c:noMultiLvlLbl val="0"/>
      </c:catAx>
      <c:valAx>
        <c:axId val="3579006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_);[Red]\(0.0\)"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57467648"/>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755711335456109"/>
          <c:y val="0.0251858014240174"/>
          <c:w val="0.91606940981907"/>
          <c:h val="0.75028258967629"/>
        </c:manualLayout>
      </c:layout>
      <c:barChart>
        <c:barDir val="col"/>
        <c:grouping val="clustered"/>
        <c:varyColors val="0"/>
        <c:ser>
          <c:idx val="0"/>
          <c:order val="0"/>
          <c:tx>
            <c:strRef>
              <c:f>Sheet1!$B$1</c:f>
              <c:strCache>
                <c:ptCount val="1"/>
                <c:pt idx="0">
                  <c:v>2016届</c:v>
                </c:pt>
              </c:strCache>
            </c:strRef>
          </c:tx>
          <c:spPr>
            <a:solidFill>
              <a:schemeClr val="accent5">
                <a:lumMod val="75000"/>
                <a:alpha val="80000"/>
              </a:schemeClr>
            </a:solidFill>
            <a:ln>
              <a:noFill/>
            </a:ln>
            <a:effectLst/>
          </c:spPr>
          <c:invertIfNegative val="0"/>
          <c:dLbls>
            <c:dLbl>
              <c:idx val="0"/>
              <c:layout>
                <c:manualLayout>
                  <c:x val="-0.0101445599797109"/>
                  <c:y val="0.011111111111111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26806999746386"/>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01445599797109"/>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26806999746388"/>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ln>
                      <a:noFill/>
                    </a:ln>
                    <a:solidFill>
                      <a:schemeClr val="tx1">
                        <a:lumMod val="65000"/>
                        <a:lumOff val="3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Sheet1!$A$2:$A$6</c:f>
              <c:strCache>
                <c:ptCount val="5"/>
                <c:pt idx="0">
                  <c:v>很满意</c:v>
                </c:pt>
                <c:pt idx="1">
                  <c:v>满意</c:v>
                </c:pt>
                <c:pt idx="2">
                  <c:v>不好说</c:v>
                </c:pt>
                <c:pt idx="3">
                  <c:v>不满意</c:v>
                </c:pt>
                <c:pt idx="4">
                  <c:v>很不满意</c:v>
                </c:pt>
              </c:strCache>
            </c:strRef>
          </c:cat>
          <c:val>
            <c:numRef>
              <c:f>Sheet1!$B$2:$B$6</c:f>
              <c:numCache>
                <c:formatCode>###0.00%</c:formatCode>
                <c:ptCount val="5"/>
                <c:pt idx="0">
                  <c:v>0.232558139534884</c:v>
                </c:pt>
                <c:pt idx="1">
                  <c:v>0.488372093023257</c:v>
                </c:pt>
                <c:pt idx="2">
                  <c:v>0.232558139534884</c:v>
                </c:pt>
                <c:pt idx="3">
                  <c:v>0.0387596899224806</c:v>
                </c:pt>
                <c:pt idx="4">
                  <c:v>0.00775193798449614</c:v>
                </c:pt>
              </c:numCache>
            </c:numRef>
          </c:val>
        </c:ser>
        <c:ser>
          <c:idx val="1"/>
          <c:order val="1"/>
          <c:tx>
            <c:strRef>
              <c:f>Sheet1!$C$1</c:f>
              <c:strCache>
                <c:ptCount val="1"/>
                <c:pt idx="0">
                  <c:v>2017届</c:v>
                </c:pt>
              </c:strCache>
            </c:strRef>
          </c:tx>
          <c:invertIfNegative val="0"/>
          <c:dLbls>
            <c:dLbl>
              <c:idx val="0"/>
              <c:layout>
                <c:manualLayout>
                  <c:x val="0.0152168399695663"/>
                  <c:y val="0.011111111111111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52168399695664"/>
                  <c:y val="0.01666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52168399695663"/>
                  <c:y val="0.0055555555555554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52168399695663"/>
                  <c:y val="0.01111111111111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ln>
                      <a:noFill/>
                    </a:ln>
                    <a:solidFill>
                      <a:schemeClr val="tx1">
                        <a:lumMod val="65000"/>
                        <a:lumOff val="3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Sheet1!$A$2:$A$6</c:f>
              <c:strCache>
                <c:ptCount val="5"/>
                <c:pt idx="0">
                  <c:v>很满意</c:v>
                </c:pt>
                <c:pt idx="1">
                  <c:v>满意</c:v>
                </c:pt>
                <c:pt idx="2">
                  <c:v>不好说</c:v>
                </c:pt>
                <c:pt idx="3">
                  <c:v>不满意</c:v>
                </c:pt>
                <c:pt idx="4">
                  <c:v>很不满意</c:v>
                </c:pt>
              </c:strCache>
            </c:strRef>
          </c:cat>
          <c:val>
            <c:numRef>
              <c:f>Sheet1!$C$2:$C$6</c:f>
              <c:numCache>
                <c:formatCode>0.00%</c:formatCode>
                <c:ptCount val="5"/>
                <c:pt idx="0">
                  <c:v>0.2318</c:v>
                </c:pt>
                <c:pt idx="1">
                  <c:v>0.397400000000001</c:v>
                </c:pt>
                <c:pt idx="2">
                  <c:v>0.2848</c:v>
                </c:pt>
                <c:pt idx="3">
                  <c:v>0.0861</c:v>
                </c:pt>
                <c:pt idx="4">
                  <c:v>0</c:v>
                </c:pt>
              </c:numCache>
            </c:numRef>
          </c:val>
        </c:ser>
        <c:dLbls>
          <c:showLegendKey val="0"/>
          <c:showVal val="1"/>
          <c:showCatName val="0"/>
          <c:showSerName val="0"/>
          <c:showPercent val="0"/>
          <c:showBubbleSize val="0"/>
        </c:dLbls>
        <c:gapWidth val="129"/>
        <c:overlap val="-10"/>
        <c:axId val="383165568"/>
        <c:axId val="383167104"/>
      </c:barChart>
      <c:catAx>
        <c:axId val="38316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1000" b="0" i="0" u="none" strike="noStrike" kern="1200" baseline="0">
                <a:ln>
                  <a:noFill/>
                </a:ln>
                <a:solidFill>
                  <a:schemeClr val="tx1">
                    <a:lumMod val="65000"/>
                    <a:lumOff val="35000"/>
                  </a:schemeClr>
                </a:solidFill>
                <a:latin typeface="+mn-lt"/>
                <a:ea typeface="+mn-ea"/>
                <a:cs typeface="+mn-cs"/>
              </a:defRPr>
            </a:pPr>
          </a:p>
        </c:txPr>
        <c:crossAx val="383167104"/>
        <c:crosses val="autoZero"/>
        <c:auto val="1"/>
        <c:lblAlgn val="ctr"/>
        <c:lblOffset val="100"/>
        <c:noMultiLvlLbl val="0"/>
      </c:catAx>
      <c:valAx>
        <c:axId val="383167104"/>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1000" b="0" i="0" u="none" strike="noStrike" kern="1200" baseline="0">
                <a:ln>
                  <a:noFill/>
                </a:ln>
                <a:solidFill>
                  <a:schemeClr val="tx1">
                    <a:lumMod val="65000"/>
                    <a:lumOff val="35000"/>
                  </a:schemeClr>
                </a:solidFill>
                <a:latin typeface="+mn-lt"/>
                <a:ea typeface="+mn-ea"/>
                <a:cs typeface="+mn-cs"/>
              </a:defRPr>
            </a:pPr>
          </a:p>
        </c:txPr>
        <c:crossAx val="383165568"/>
        <c:crosses val="autoZero"/>
        <c:crossBetween val="between"/>
      </c:valAx>
      <c:spPr>
        <a:noFill/>
        <a:ln>
          <a:noFill/>
        </a:ln>
        <a:effectLst/>
      </c:spPr>
    </c:plotArea>
    <c:legend>
      <c:legendPos val="b"/>
      <c:layout/>
      <c:overlay val="0"/>
      <c:txPr>
        <a:bodyPr rot="0" spcFirstLastPara="0" vertOverflow="ellipsis" vert="horz" wrap="square" anchor="ctr" anchorCtr="1"/>
        <a:lstStyle/>
        <a:p>
          <a:pPr>
            <a:defRPr lang="zh-CN" sz="1000" b="0" i="0" u="none" strike="noStrike" kern="1200" baseline="0">
              <a:ln>
                <a:noFill/>
              </a:ln>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prstDash val="solid"/>
      <a:round/>
    </a:ln>
    <a:effectLst/>
  </c:spPr>
  <c:txPr>
    <a:bodyPr/>
    <a:lstStyle/>
    <a:p>
      <a:pPr>
        <a:defRPr lang="zh-CN">
          <a:ln>
            <a:noFill/>
          </a:ln>
          <a:solidFill>
            <a:schemeClr val="tx1">
              <a:lumMod val="65000"/>
              <a:lumOff val="35000"/>
            </a:schemeClr>
          </a:solidFill>
        </a:defRPr>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4"/>
          <c:w val="0.91606940981907"/>
          <c:h val="0.857855474257449"/>
        </c:manualLayout>
      </c:layout>
      <c:barChart>
        <c:barDir val="col"/>
        <c:grouping val="clustered"/>
        <c:varyColors val="0"/>
        <c:ser>
          <c:idx val="0"/>
          <c:order val="0"/>
          <c:tx>
            <c:strRef>
              <c:f>Sheet1!$B$1</c:f>
              <c:strCache>
                <c:ptCount val="1"/>
                <c:pt idx="0">
                  <c:v/>
                </c:pt>
              </c:strCache>
            </c:strRef>
          </c:tx>
          <c:spPr>
            <a:solidFill>
              <a:schemeClr val="accent5">
                <a:alpha val="85000"/>
              </a:schemeClr>
            </a:solidFill>
            <a:ln w="9525" cap="flat" cmpd="sng" algn="ctr">
              <a:solidFill>
                <a:schemeClr val="lt1">
                  <a:alpha val="50000"/>
                </a:schemeClr>
              </a:solidFill>
              <a:round/>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期望</c:v>
                </c:pt>
                <c:pt idx="1">
                  <c:v>落实</c:v>
                </c:pt>
              </c:strCache>
            </c:strRef>
          </c:cat>
          <c:val>
            <c:numRef>
              <c:f>Sheet1!$B$2:$B$3</c:f>
              <c:numCache>
                <c:formatCode>General</c:formatCode>
                <c:ptCount val="2"/>
                <c:pt idx="0">
                  <c:v>15.92</c:v>
                </c:pt>
                <c:pt idx="1">
                  <c:v>12.13</c:v>
                </c:pt>
              </c:numCache>
            </c:numRef>
          </c:val>
        </c:ser>
        <c:dLbls>
          <c:showLegendKey val="0"/>
          <c:showVal val="1"/>
          <c:showCatName val="0"/>
          <c:showSerName val="0"/>
          <c:showPercent val="0"/>
          <c:showBubbleSize val="0"/>
        </c:dLbls>
        <c:gapWidth val="65"/>
        <c:axId val="360327040"/>
        <c:axId val="360362752"/>
      </c:barChart>
      <c:catAx>
        <c:axId val="360327040"/>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60362752"/>
        <c:crosses val="autoZero"/>
        <c:auto val="1"/>
        <c:lblAlgn val="ctr"/>
        <c:lblOffset val="100"/>
        <c:noMultiLvlLbl val="0"/>
      </c:catAx>
      <c:valAx>
        <c:axId val="36036275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_);[Red]\(#,##0.0\)" sourceLinked="0"/>
        <c:majorTickMark val="out"/>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crossAx val="360327040"/>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1"/>
          <c:order val="1"/>
          <c:tx>
            <c:strRef>
              <c:f>Sheet1!$A$3</c:f>
              <c:strCache>
                <c:ptCount val="1"/>
                <c:pt idx="0">
                  <c:v>最终落实</c:v>
                </c:pt>
              </c:strCache>
            </c:strRef>
          </c:tx>
          <c:spPr>
            <a:solidFill>
              <a:schemeClr val="accent5">
                <a:shade val="76000"/>
              </a:schemeClr>
            </a:solidFill>
            <a:ln>
              <a:noFill/>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baseline="0">
                    <a:solidFill>
                      <a:sysClr val="windowText" lastClr="000000"/>
                    </a:solidFill>
                    <a:latin typeface="+mn-lt"/>
                    <a:ea typeface="+mn-ea"/>
                    <a:cs typeface="+mn-cs"/>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Sheet1!$B$1:$M$1</c:f>
              <c:strCache>
                <c:ptCount val="12"/>
                <c:pt idx="0">
                  <c:v>表演</c:v>
                </c:pt>
                <c:pt idx="1">
                  <c:v>表演（戏剧影视表演）</c:v>
                </c:pt>
                <c:pt idx="2">
                  <c:v>表演（音乐剧）</c:v>
                </c:pt>
                <c:pt idx="3">
                  <c:v>导演（演出制作）</c:v>
                </c:pt>
                <c:pt idx="4">
                  <c:v>导演（影视编导）</c:v>
                </c:pt>
                <c:pt idx="5">
                  <c:v>戏剧学(戏剧史论与批评)</c:v>
                </c:pt>
                <c:pt idx="6">
                  <c:v>戏剧影视导演</c:v>
                </c:pt>
                <c:pt idx="7">
                  <c:v>戏剧影视美术设计(舞台灯光)</c:v>
                </c:pt>
                <c:pt idx="8">
                  <c:v>戏剧影视美术设计(舞台服装)</c:v>
                </c:pt>
                <c:pt idx="9">
                  <c:v>戏剧影视美术设计(舞台化装)</c:v>
                </c:pt>
                <c:pt idx="10">
                  <c:v>戏剧影视美术设计(舞台技术)</c:v>
                </c:pt>
                <c:pt idx="11">
                  <c:v>戏剧影视文学(电视剧创作)</c:v>
                </c:pt>
              </c:strCache>
            </c:strRef>
          </c:cat>
          <c:val>
            <c:numRef>
              <c:f>Sheet1!$B$3:$M$3</c:f>
              <c:numCache>
                <c:formatCode>0.00_);[Red]\(0.00\)</c:formatCode>
                <c:ptCount val="12"/>
                <c:pt idx="0">
                  <c:v>8.5</c:v>
                </c:pt>
                <c:pt idx="1">
                  <c:v>18.35</c:v>
                </c:pt>
                <c:pt idx="2">
                  <c:v>14.8</c:v>
                </c:pt>
                <c:pt idx="3">
                  <c:v>12</c:v>
                </c:pt>
                <c:pt idx="4">
                  <c:v>12.5</c:v>
                </c:pt>
                <c:pt idx="5">
                  <c:v>10.55</c:v>
                </c:pt>
                <c:pt idx="6">
                  <c:v>10.65</c:v>
                </c:pt>
                <c:pt idx="7">
                  <c:v>10.31</c:v>
                </c:pt>
                <c:pt idx="8">
                  <c:v>6.86</c:v>
                </c:pt>
                <c:pt idx="9">
                  <c:v>10.43</c:v>
                </c:pt>
                <c:pt idx="10" c:formatCode="General">
                  <c:v>11.33</c:v>
                </c:pt>
                <c:pt idx="11" c:formatCode="General">
                  <c:v>9.56</c:v>
                </c:pt>
              </c:numCache>
            </c:numRef>
          </c:val>
        </c:ser>
        <c:dLbls>
          <c:showLegendKey val="0"/>
          <c:showVal val="0"/>
          <c:showCatName val="0"/>
          <c:showSerName val="0"/>
          <c:showPercent val="0"/>
          <c:showBubbleSize val="0"/>
        </c:dLbls>
        <c:gapWidth val="110"/>
        <c:axId val="384496000"/>
        <c:axId val="384494208"/>
      </c:barChart>
      <c:lineChart>
        <c:grouping val="standard"/>
        <c:varyColors val="0"/>
        <c:ser>
          <c:idx val="0"/>
          <c:order val="0"/>
          <c:tx>
            <c:strRef>
              <c:f>Sheet1!$A$2</c:f>
              <c:strCache>
                <c:ptCount val="1"/>
                <c:pt idx="0">
                  <c:v>期望与实际的差异</c:v>
                </c:pt>
              </c:strCache>
            </c:strRef>
          </c:tx>
          <c:spPr>
            <a:ln w="28575" cap="rnd" cmpd="sng" algn="ctr">
              <a:solidFill>
                <a:schemeClr val="accent5">
                  <a:tint val="77000"/>
                  <a:shade val="95000"/>
                  <a:satMod val="105000"/>
                </a:schemeClr>
              </a:solidFill>
              <a:prstDash val="solid"/>
              <a:round/>
            </a:ln>
            <a:effectLst/>
          </c:spPr>
          <c:marker>
            <c:spPr>
              <a:solidFill>
                <a:schemeClr val="accent5">
                  <a:tint val="77000"/>
                </a:schemeClr>
              </a:solidFill>
              <a:ln w="9525" cap="flat" cmpd="sng" algn="ctr">
                <a:solidFill>
                  <a:schemeClr val="accent5">
                    <a:tint val="77000"/>
                    <a:shade val="95000"/>
                    <a:satMod val="105000"/>
                  </a:schemeClr>
                </a:solidFill>
                <a:prstDash val="solid"/>
                <a:round/>
              </a:ln>
              <a:effectLst/>
            </c:spPr>
          </c:marker>
          <c:dLbls>
            <c:numFmt formatCode="#,##0.00_ " sourceLinked="0"/>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Sheet1!$B$1:$M$1</c:f>
              <c:strCache>
                <c:ptCount val="12"/>
                <c:pt idx="0">
                  <c:v>表演</c:v>
                </c:pt>
                <c:pt idx="1">
                  <c:v>表演（戏剧影视表演）</c:v>
                </c:pt>
                <c:pt idx="2">
                  <c:v>表演（音乐剧）</c:v>
                </c:pt>
                <c:pt idx="3">
                  <c:v>导演（演出制作）</c:v>
                </c:pt>
                <c:pt idx="4">
                  <c:v>导演（影视编导）</c:v>
                </c:pt>
                <c:pt idx="5">
                  <c:v>戏剧学(戏剧史论与批评)</c:v>
                </c:pt>
                <c:pt idx="6">
                  <c:v>戏剧影视导演</c:v>
                </c:pt>
                <c:pt idx="7">
                  <c:v>戏剧影视美术设计(舞台灯光)</c:v>
                </c:pt>
                <c:pt idx="8">
                  <c:v>戏剧影视美术设计(舞台服装)</c:v>
                </c:pt>
                <c:pt idx="9">
                  <c:v>戏剧影视美术设计(舞台化装)</c:v>
                </c:pt>
                <c:pt idx="10">
                  <c:v>戏剧影视美术设计(舞台技术)</c:v>
                </c:pt>
                <c:pt idx="11">
                  <c:v>戏剧影视文学(电视剧创作)</c:v>
                </c:pt>
              </c:strCache>
            </c:strRef>
          </c:cat>
          <c:val>
            <c:numRef>
              <c:f>Sheet1!$B$2:$M$2</c:f>
              <c:numCache>
                <c:formatCode>0.00_ </c:formatCode>
                <c:ptCount val="12"/>
                <c:pt idx="0">
                  <c:v>1.63</c:v>
                </c:pt>
                <c:pt idx="1">
                  <c:v>5.07</c:v>
                </c:pt>
                <c:pt idx="2">
                  <c:v>8.6</c:v>
                </c:pt>
                <c:pt idx="3">
                  <c:v>-4</c:v>
                </c:pt>
                <c:pt idx="4">
                  <c:v>10.83</c:v>
                </c:pt>
                <c:pt idx="5">
                  <c:v>2.75</c:v>
                </c:pt>
                <c:pt idx="6">
                  <c:v>1.49</c:v>
                </c:pt>
                <c:pt idx="7">
                  <c:v>4.19</c:v>
                </c:pt>
                <c:pt idx="8">
                  <c:v>8.14</c:v>
                </c:pt>
                <c:pt idx="9">
                  <c:v>5.7</c:v>
                </c:pt>
                <c:pt idx="10">
                  <c:v>2.89</c:v>
                </c:pt>
                <c:pt idx="11">
                  <c:v>3.11</c:v>
                </c:pt>
              </c:numCache>
            </c:numRef>
          </c:val>
          <c:smooth val="0"/>
        </c:ser>
        <c:dLbls>
          <c:showLegendKey val="0"/>
          <c:showVal val="0"/>
          <c:showCatName val="0"/>
          <c:showSerName val="0"/>
          <c:showPercent val="0"/>
          <c:showBubbleSize val="0"/>
        </c:dLbls>
        <c:marker val="1"/>
        <c:smooth val="0"/>
        <c:axId val="384474496"/>
        <c:axId val="384492672"/>
      </c:lineChart>
      <c:catAx>
        <c:axId val="3844744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84492672"/>
        <c:crosses val="autoZero"/>
        <c:auto val="1"/>
        <c:lblAlgn val="ctr"/>
        <c:lblOffset val="100"/>
        <c:tickLblSkip val="1"/>
        <c:noMultiLvlLbl val="0"/>
      </c:catAx>
      <c:valAx>
        <c:axId val="38449267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0_ "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84474496"/>
        <c:crosses val="autoZero"/>
        <c:crossBetween val="between"/>
      </c:valAx>
      <c:catAx>
        <c:axId val="384496000"/>
        <c:scaling>
          <c:orientation val="minMax"/>
        </c:scaling>
        <c:delete val="1"/>
        <c:axPos val="b"/>
        <c:numFmt formatCode="General" sourceLinked="1"/>
        <c:majorTickMark val="out"/>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4494208"/>
        <c:crosses val="autoZero"/>
        <c:auto val="1"/>
        <c:lblAlgn val="ctr"/>
        <c:lblOffset val="100"/>
        <c:noMultiLvlLbl val="0"/>
      </c:catAx>
      <c:valAx>
        <c:axId val="384494208"/>
        <c:scaling>
          <c:orientation val="minMax"/>
        </c:scaling>
        <c:delete val="0"/>
        <c:axPos val="r"/>
        <c:numFmt formatCode="#,##0.00_);[Red]\(#,##0.0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4496000"/>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no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4"/>
          <c:w val="0.91606940981907"/>
          <c:h val="0.791363077952941"/>
        </c:manualLayout>
      </c:layout>
      <c:barChart>
        <c:barDir val="col"/>
        <c:grouping val="clustered"/>
        <c:varyColors val="0"/>
        <c:ser>
          <c:idx val="0"/>
          <c:order val="0"/>
          <c:tx>
            <c:strRef>
              <c:f>Sheet1!$B$1</c:f>
              <c:strCache>
                <c:ptCount val="1"/>
                <c:pt idx="0">
                  <c:v>2016届</c:v>
                </c:pt>
              </c:strCache>
            </c:strRef>
          </c:tx>
          <c:spPr>
            <a:solidFill>
              <a:schemeClr val="accent5">
                <a:alpha val="85000"/>
              </a:schemeClr>
            </a:solidFill>
            <a:ln w="9525" cap="flat" cmpd="sng" algn="ctr">
              <a:solidFill>
                <a:schemeClr val="lt1">
                  <a:alpha val="50000"/>
                </a:schemeClr>
              </a:solidFill>
              <a:round/>
            </a:ln>
            <a:effectLst/>
          </c:spPr>
          <c:invertIfNegative val="0"/>
          <c:dLbls>
            <c:dLbl>
              <c:idx val="0"/>
              <c:layout>
                <c:manualLayout>
                  <c:x val="0"/>
                  <c:y val="0.0094278763717822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73005787978524e-17"/>
                  <c:y val="0.0094278763717822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期望</c:v>
                </c:pt>
                <c:pt idx="1">
                  <c:v>落实</c:v>
                </c:pt>
              </c:strCache>
            </c:strRef>
          </c:cat>
          <c:val>
            <c:numRef>
              <c:f>Sheet1!$B$2:$B$3</c:f>
              <c:numCache>
                <c:formatCode>General</c:formatCode>
                <c:ptCount val="2"/>
                <c:pt idx="0">
                  <c:v>13.5</c:v>
                </c:pt>
                <c:pt idx="1">
                  <c:v>9.78</c:v>
                </c:pt>
              </c:numCache>
            </c:numRef>
          </c:val>
        </c:ser>
        <c:ser>
          <c:idx val="1"/>
          <c:order val="1"/>
          <c:tx>
            <c:strRef>
              <c:f>Sheet1!$C$1</c:f>
              <c:strCache>
                <c:ptCount val="1"/>
                <c:pt idx="0">
                  <c:v>2017届</c:v>
                </c:pt>
              </c:strCache>
            </c:strRef>
          </c:tx>
          <c:invertIfNegative val="0"/>
          <c:dLbls>
            <c:dLbl>
              <c:idx val="0"/>
              <c:layout/>
              <c:numFmt formatCode="General" sourceLinked="1"/>
              <c:spPr>
                <a:noFill/>
                <a:ln>
                  <a:noFill/>
                </a:ln>
                <a:effectLst/>
              </c:spPr>
              <c:txPr>
                <a:bodyPr rot="0" spcFirstLastPara="0" vertOverflow="ellipsis" vert="horz" wrap="square" lIns="38100" tIns="19050" rIns="38100" bIns="19050" anchor="ctr" anchorCtr="1">
                  <a:spAutoFit/>
                </a:bodyPr>
                <a:lstStyle/>
                <a:p>
                  <a:pPr>
                    <a:defRPr lang="zh-CN" sz="1000" b="1"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00238095238095247"/>
                  <c:y val="0.00949893137022085"/>
                </c:manualLayout>
              </c:layout>
              <c:numFmt formatCode="General" sourceLinked="1"/>
              <c:spPr>
                <a:noFill/>
                <a:ln>
                  <a:noFill/>
                </a:ln>
                <a:effectLst/>
              </c:spPr>
              <c:txPr>
                <a:bodyPr rot="0" spcFirstLastPara="0" vertOverflow="ellipsis" vert="horz" wrap="square" lIns="38100" tIns="19050" rIns="38100" bIns="19050" anchor="ctr" anchorCtr="1">
                  <a:spAutoFit/>
                </a:bodyPr>
                <a:lstStyle/>
                <a:p>
                  <a:pPr>
                    <a:defRPr lang="zh-CN" sz="1000" b="1"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Sheet1!$A$2:$A$3</c:f>
              <c:strCache>
                <c:ptCount val="2"/>
                <c:pt idx="0">
                  <c:v>期望</c:v>
                </c:pt>
                <c:pt idx="1">
                  <c:v>落实</c:v>
                </c:pt>
              </c:strCache>
            </c:strRef>
          </c:cat>
          <c:val>
            <c:numRef>
              <c:f>Sheet1!$C$2:$C$3</c:f>
              <c:numCache>
                <c:formatCode>General</c:formatCode>
                <c:ptCount val="2"/>
                <c:pt idx="0">
                  <c:v>15.92</c:v>
                </c:pt>
                <c:pt idx="1">
                  <c:v>12.13</c:v>
                </c:pt>
              </c:numCache>
            </c:numRef>
          </c:val>
        </c:ser>
        <c:dLbls>
          <c:showLegendKey val="0"/>
          <c:showVal val="1"/>
          <c:showCatName val="0"/>
          <c:showSerName val="0"/>
          <c:showPercent val="0"/>
          <c:showBubbleSize val="0"/>
        </c:dLbls>
        <c:gapWidth val="299"/>
        <c:axId val="383377792"/>
        <c:axId val="383379328"/>
      </c:barChart>
      <c:catAx>
        <c:axId val="383377792"/>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83379328"/>
        <c:crosses val="autoZero"/>
        <c:auto val="1"/>
        <c:lblAlgn val="ctr"/>
        <c:lblOffset val="100"/>
        <c:noMultiLvlLbl val="0"/>
      </c:catAx>
      <c:valAx>
        <c:axId val="38337932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_);[Red]\(#,##0.0\)" sourceLinked="0"/>
        <c:majorTickMark val="out"/>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crossAx val="383377792"/>
        <c:crosses val="autoZero"/>
        <c:crossBetween val="between"/>
      </c:valAx>
      <c:spPr>
        <a:noFill/>
        <a:ln>
          <a:noFill/>
        </a:ln>
        <a:effectLst/>
      </c:spPr>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1500255176438"/>
          <c:y val="0.128859247432781"/>
          <c:w val="0.436856959525672"/>
          <c:h val="0.843552777420266"/>
        </c:manualLayout>
      </c:layout>
      <c:pieChart>
        <c:varyColors val="1"/>
        <c:ser>
          <c:idx val="0"/>
          <c:order val="0"/>
          <c:tx>
            <c:strRef>
              <c:f>Sheet1!$B$1</c:f>
              <c:strCache>
                <c:ptCount val="1"/>
                <c:pt idx="0">
                  <c:v/>
                </c:pt>
              </c:strCache>
            </c:strRef>
          </c:tx>
          <c:explosion val="0"/>
          <c:dPt>
            <c:idx val="0"/>
            <c:bubble3D val="0"/>
            <c:explosion val="6"/>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0640080381613701"/>
                  <c:y val="0.00731885825811174"/>
                </c:manualLayout>
              </c:layout>
              <c:numFmt formatCode="0.00%" sourceLinked="0"/>
              <c:spPr>
                <a:no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1"/>
              <c:layout/>
              <c:numFmt formatCode="0.00%" sourceLinked="0"/>
              <c:spPr>
                <a:no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extLst>
            </c:dLbl>
            <c:dLbl>
              <c:idx val="2"/>
              <c:layout/>
              <c:numFmt formatCode="0.00%" sourceLinked="0"/>
              <c:spPr>
                <a:no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extLst>
            </c:dLbl>
            <c:numFmt formatCode="0.00%" sourceLinked="0"/>
            <c:spPr>
              <a:no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p>
            </c:txPr>
            <c:dLblPos val="bestFit"/>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ext>
            </c:extLst>
          </c:dLbls>
          <c:cat>
            <c:strRef>
              <c:f>Sheet1!$A$2:$A$4</c:f>
              <c:strCache>
                <c:ptCount val="3"/>
                <c:pt idx="0">
                  <c:v>有五险</c:v>
                </c:pt>
                <c:pt idx="1">
                  <c:v>五险不全</c:v>
                </c:pt>
                <c:pt idx="2">
                  <c:v>没有五险</c:v>
                </c:pt>
              </c:strCache>
            </c:strRef>
          </c:cat>
          <c:val>
            <c:numRef>
              <c:f>Sheet1!$B$2:$B$4</c:f>
              <c:numCache>
                <c:formatCode>###0"人"</c:formatCode>
                <c:ptCount val="3"/>
                <c:pt idx="0">
                  <c:v>86</c:v>
                </c:pt>
                <c:pt idx="1">
                  <c:v>10</c:v>
                </c:pt>
                <c:pt idx="2">
                  <c:v>55</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23087827856009"/>
          <c:y val="0.0435938060933873"/>
          <c:w val="0.90179694689143"/>
          <c:h val="0.736504675196851"/>
        </c:manualLayout>
      </c:layout>
      <c:barChart>
        <c:barDir val="col"/>
        <c:grouping val="clustered"/>
        <c:varyColors val="0"/>
        <c:ser>
          <c:idx val="0"/>
          <c:order val="0"/>
          <c:tx>
            <c:strRef>
              <c:f>Sheet1!$B$1</c:f>
              <c:strCache>
                <c:ptCount val="1"/>
                <c:pt idx="0">
                  <c:v>2016届</c:v>
                </c:pt>
              </c:strCache>
            </c:strRef>
          </c:tx>
          <c:spPr>
            <a:solidFill>
              <a:schemeClr val="accent5">
                <a:alpha val="91000"/>
              </a:schemeClr>
            </a:solidFill>
          </c:spPr>
          <c:invertIfNegative val="0"/>
          <c:dPt>
            <c:idx val="0"/>
            <c:invertIfNegative val="0"/>
            <c:bubble3D val="0"/>
            <c:explosion val="6"/>
            <c:spPr>
              <a:solidFill>
                <a:schemeClr val="accent5">
                  <a:alpha val="91000"/>
                </a:schemeClr>
              </a:solidFill>
              <a:ln w="19050">
                <a:solidFill>
                  <a:schemeClr val="lt1"/>
                </a:solidFill>
              </a:ln>
              <a:effectLst/>
            </c:spPr>
          </c:dPt>
          <c:dPt>
            <c:idx val="1"/>
            <c:invertIfNegative val="0"/>
            <c:bubble3D val="0"/>
            <c:spPr>
              <a:solidFill>
                <a:schemeClr val="accent5">
                  <a:alpha val="91000"/>
                </a:schemeClr>
              </a:solidFill>
              <a:ln w="19050">
                <a:solidFill>
                  <a:schemeClr val="lt1"/>
                </a:solidFill>
              </a:ln>
              <a:effectLst/>
            </c:spPr>
          </c:dPt>
          <c:dPt>
            <c:idx val="2"/>
            <c:invertIfNegative val="0"/>
            <c:bubble3D val="0"/>
            <c:spPr>
              <a:solidFill>
                <a:schemeClr val="accent5">
                  <a:alpha val="91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65000"/>
                        <a:lumOff val="3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Sheet1!$A$2:$A$4</c:f>
              <c:strCache>
                <c:ptCount val="3"/>
                <c:pt idx="0">
                  <c:v>有五险</c:v>
                </c:pt>
                <c:pt idx="1">
                  <c:v>五险不全</c:v>
                </c:pt>
                <c:pt idx="2">
                  <c:v>没有五险</c:v>
                </c:pt>
              </c:strCache>
            </c:strRef>
          </c:cat>
          <c:val>
            <c:numRef>
              <c:f>Sheet1!$B$2:$B$4</c:f>
              <c:numCache>
                <c:formatCode>###0.00%</c:formatCode>
                <c:ptCount val="3"/>
                <c:pt idx="0">
                  <c:v>0.658730158730159</c:v>
                </c:pt>
                <c:pt idx="1">
                  <c:v>0.0873015873015871</c:v>
                </c:pt>
                <c:pt idx="2">
                  <c:v>0.253968253968254</c:v>
                </c:pt>
              </c:numCache>
            </c:numRef>
          </c:val>
        </c:ser>
        <c:ser>
          <c:idx val="1"/>
          <c:order val="1"/>
          <c:tx>
            <c:strRef>
              <c:f>Sheet1!$C$1</c:f>
              <c:strCache>
                <c:ptCount val="1"/>
                <c:pt idx="0">
                  <c:v>2017届</c:v>
                </c:pt>
              </c:strCache>
            </c:strRef>
          </c:tx>
          <c:spPr>
            <a:solidFill>
              <a:schemeClr val="accent5">
                <a:lumMod val="60000"/>
                <a:lumOff val="40000"/>
                <a:alpha val="83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65000"/>
                        <a:lumOff val="3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Sheet1!$A$2:$A$4</c:f>
              <c:strCache>
                <c:ptCount val="3"/>
                <c:pt idx="0">
                  <c:v>有五险</c:v>
                </c:pt>
                <c:pt idx="1">
                  <c:v>五险不全</c:v>
                </c:pt>
                <c:pt idx="2">
                  <c:v>没有五险</c:v>
                </c:pt>
              </c:strCache>
            </c:strRef>
          </c:cat>
          <c:val>
            <c:numRef>
              <c:f>Sheet1!$C$2:$C$4</c:f>
              <c:numCache>
                <c:formatCode>0.00%</c:formatCode>
                <c:ptCount val="3"/>
                <c:pt idx="0">
                  <c:v>0.5695</c:v>
                </c:pt>
                <c:pt idx="1">
                  <c:v>0.0662</c:v>
                </c:pt>
                <c:pt idx="2">
                  <c:v>0.3642</c:v>
                </c:pt>
              </c:numCache>
            </c:numRef>
          </c:val>
        </c:ser>
        <c:dLbls>
          <c:showLegendKey val="0"/>
          <c:showVal val="1"/>
          <c:showCatName val="0"/>
          <c:showSerName val="0"/>
          <c:showPercent val="0"/>
          <c:showBubbleSize val="0"/>
        </c:dLbls>
        <c:gapWidth val="165"/>
        <c:overlap val="-5"/>
        <c:axId val="384853120"/>
        <c:axId val="384854656"/>
      </c:barChart>
      <c:catAx>
        <c:axId val="384853120"/>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384854656"/>
        <c:crosses val="autoZero"/>
        <c:auto val="1"/>
        <c:lblAlgn val="ctr"/>
        <c:lblOffset val="100"/>
        <c:noMultiLvlLbl val="0"/>
      </c:catAx>
      <c:valAx>
        <c:axId val="384854656"/>
        <c:scaling>
          <c:orientation val="minMax"/>
        </c:scaling>
        <c:delete val="0"/>
        <c:axPos val="l"/>
        <c:majorGridlines>
          <c:spPr>
            <a:ln w="9525" cap="flat" cmpd="sng" algn="ctr">
              <a:solidFill>
                <a:schemeClr val="bg1">
                  <a:lumMod val="75000"/>
                </a:schemeClr>
              </a:solidFill>
              <a:prstDash val="solid"/>
              <a:round/>
            </a:ln>
          </c:spPr>
        </c:majorGridlines>
        <c:numFmt formatCode="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384853120"/>
        <c:crosses val="autoZero"/>
        <c:crossBetween val="between"/>
      </c:valAx>
      <c:spPr>
        <a:noFill/>
        <a:ln>
          <a:noFill/>
        </a:ln>
        <a:effectLst/>
      </c:spPr>
    </c:plotArea>
    <c:legend>
      <c:legendPos val="b"/>
      <c:layout/>
      <c:overlay val="0"/>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solidFill>
            <a:schemeClr val="tx1">
              <a:lumMod val="65000"/>
              <a:lumOff val="35000"/>
            </a:schemeClr>
          </a:solidFill>
        </a:defRPr>
      </a:pP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1500255176438"/>
          <c:y val="0.128859247432781"/>
          <c:w val="0.468388560804904"/>
          <c:h val="0.745968141079139"/>
        </c:manualLayout>
      </c:layout>
      <c:doughnutChart>
        <c:varyColors val="1"/>
        <c:ser>
          <c:idx val="0"/>
          <c:order val="0"/>
          <c:tx>
            <c:strRef>
              <c:f>Sheet1!$B$1</c:f>
              <c:strCache>
                <c:ptCount val="1"/>
                <c:pt idx="0">
                  <c:v/>
                </c:pt>
              </c:strCache>
            </c:strRef>
          </c:tx>
          <c:explosion val="0"/>
          <c:dPt>
            <c:idx val="0"/>
            <c:bubble3D val="0"/>
            <c:explosion val="6"/>
            <c:spPr>
              <a:solidFill>
                <a:schemeClr val="accent1"/>
              </a:solidFill>
              <a:ln>
                <a:noFill/>
              </a:ln>
              <a:effectLst/>
            </c:spPr>
          </c:dPt>
          <c:dPt>
            <c:idx val="1"/>
            <c:bubble3D val="0"/>
            <c:spPr>
              <a:solidFill>
                <a:schemeClr val="accent3"/>
              </a:solidFill>
              <a:ln>
                <a:noFill/>
              </a:ln>
              <a:effectLst/>
            </c:spPr>
          </c:dPt>
          <c:dLbls>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ext>
            </c:extLst>
          </c:dLbls>
          <c:cat>
            <c:strRef>
              <c:f>Sheet1!$A$2:$A$3</c:f>
              <c:strCache>
                <c:ptCount val="2"/>
                <c:pt idx="0">
                  <c:v>有</c:v>
                </c:pt>
                <c:pt idx="1">
                  <c:v>没有</c:v>
                </c:pt>
              </c:strCache>
            </c:strRef>
          </c:cat>
          <c:val>
            <c:numRef>
              <c:f>Sheet1!$B$2:$B$3</c:f>
              <c:numCache>
                <c:formatCode>###0"人"</c:formatCode>
                <c:ptCount val="2"/>
                <c:pt idx="0">
                  <c:v>62</c:v>
                </c:pt>
                <c:pt idx="1">
                  <c:v>89</c:v>
                </c:pt>
              </c:numCache>
            </c:numRef>
          </c:val>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c:f>
              <c:strCache>
                <c:ptCount val="1"/>
                <c:pt idx="0">
                  <c:v>本科生</c:v>
                </c:pt>
              </c:strCache>
            </c:strRef>
          </c:tx>
          <c:spPr>
            <a:effectLst/>
          </c:spPr>
          <c:dLbls>
            <c:delete val="1"/>
          </c:dLbls>
          <c:cat>
            <c:strRef>
              <c:f>Sheet1!$B$1:$M$1</c:f>
              <c:strCache>
                <c:ptCount val="12"/>
                <c:pt idx="0">
                  <c:v>制造业</c:v>
                </c:pt>
                <c:pt idx="1">
                  <c:v>电力、热力、燃气及水生产和供应业</c:v>
                </c:pt>
                <c:pt idx="2">
                  <c:v>批发和零售业</c:v>
                </c:pt>
                <c:pt idx="3">
                  <c:v>信息传输、软件和信息技术服务业</c:v>
                </c:pt>
                <c:pt idx="4">
                  <c:v>金融业</c:v>
                </c:pt>
                <c:pt idx="5">
                  <c:v>房地产业</c:v>
                </c:pt>
                <c:pt idx="6">
                  <c:v>居民服务、修理和其他服务业</c:v>
                </c:pt>
                <c:pt idx="7">
                  <c:v>教育</c:v>
                </c:pt>
                <c:pt idx="8">
                  <c:v>卫生和社会工作</c:v>
                </c:pt>
                <c:pt idx="9">
                  <c:v>文化、体育和娱乐业</c:v>
                </c:pt>
                <c:pt idx="10">
                  <c:v>公共管理、社会保障和社会组织</c:v>
                </c:pt>
                <c:pt idx="11">
                  <c:v>其他</c:v>
                </c:pt>
              </c:strCache>
            </c:strRef>
          </c:cat>
          <c:val>
            <c:numRef>
              <c:f>Sheet1!$B$2:$M$2</c:f>
              <c:numCache>
                <c:formatCode>0.00%</c:formatCode>
                <c:ptCount val="12"/>
                <c:pt idx="0">
                  <c:v>0.0109</c:v>
                </c:pt>
                <c:pt idx="1">
                  <c:v>0.0036</c:v>
                </c:pt>
                <c:pt idx="2">
                  <c:v>0.0291</c:v>
                </c:pt>
                <c:pt idx="3">
                  <c:v>0.0109</c:v>
                </c:pt>
                <c:pt idx="4">
                  <c:v>0.0073</c:v>
                </c:pt>
                <c:pt idx="7">
                  <c:v>0.04</c:v>
                </c:pt>
                <c:pt idx="9">
                  <c:v>0.2982</c:v>
                </c:pt>
                <c:pt idx="10">
                  <c:v>0.0509</c:v>
                </c:pt>
                <c:pt idx="11">
                  <c:v>0.5491</c:v>
                </c:pt>
              </c:numCache>
            </c:numRef>
          </c:val>
          <c:smooth val="0"/>
        </c:ser>
        <c:ser>
          <c:idx val="1"/>
          <c:order val="1"/>
          <c:tx>
            <c:strRef>
              <c:f>Sheet1!$A$3</c:f>
              <c:strCache>
                <c:ptCount val="1"/>
                <c:pt idx="0">
                  <c:v>硕士生</c:v>
                </c:pt>
              </c:strCache>
            </c:strRef>
          </c:tx>
          <c:spPr>
            <a:ln w="28575" cap="rnd" cmpd="sng" algn="ctr">
              <a:solidFill>
                <a:schemeClr val="accent5">
                  <a:tint val="77000"/>
                  <a:shade val="95000"/>
                  <a:satMod val="105000"/>
                </a:schemeClr>
              </a:solidFill>
              <a:prstDash val="solid"/>
              <a:round/>
            </a:ln>
            <a:effectLst/>
          </c:spPr>
          <c:marker>
            <c:spPr>
              <a:solidFill>
                <a:schemeClr val="accent5">
                  <a:tint val="77000"/>
                </a:schemeClr>
              </a:solidFill>
              <a:ln w="9525" cap="flat" cmpd="sng" algn="ctr">
                <a:solidFill>
                  <a:schemeClr val="accent5">
                    <a:tint val="77000"/>
                    <a:shade val="95000"/>
                    <a:satMod val="105000"/>
                  </a:schemeClr>
                </a:solidFill>
                <a:prstDash val="solid"/>
                <a:round/>
              </a:ln>
              <a:effectLst/>
            </c:spPr>
          </c:marker>
          <c:dLbls>
            <c:delete val="1"/>
          </c:dLbls>
          <c:cat>
            <c:strRef>
              <c:f>Sheet1!$B$1:$M$1</c:f>
              <c:strCache>
                <c:ptCount val="12"/>
                <c:pt idx="0">
                  <c:v>制造业</c:v>
                </c:pt>
                <c:pt idx="1">
                  <c:v>电力、热力、燃气及水生产和供应业</c:v>
                </c:pt>
                <c:pt idx="2">
                  <c:v>批发和零售业</c:v>
                </c:pt>
                <c:pt idx="3">
                  <c:v>信息传输、软件和信息技术服务业</c:v>
                </c:pt>
                <c:pt idx="4">
                  <c:v>金融业</c:v>
                </c:pt>
                <c:pt idx="5">
                  <c:v>房地产业</c:v>
                </c:pt>
                <c:pt idx="6">
                  <c:v>居民服务、修理和其他服务业</c:v>
                </c:pt>
                <c:pt idx="7">
                  <c:v>教育</c:v>
                </c:pt>
                <c:pt idx="8">
                  <c:v>卫生和社会工作</c:v>
                </c:pt>
                <c:pt idx="9">
                  <c:v>文化、体育和娱乐业</c:v>
                </c:pt>
                <c:pt idx="10">
                  <c:v>公共管理、社会保障和社会组织</c:v>
                </c:pt>
                <c:pt idx="11">
                  <c:v>其他</c:v>
                </c:pt>
              </c:strCache>
            </c:strRef>
          </c:cat>
          <c:val>
            <c:numRef>
              <c:f>Sheet1!$B$3:$M$3</c:f>
              <c:numCache>
                <c:formatCode>General</c:formatCode>
                <c:ptCount val="12"/>
                <c:pt idx="3" c:formatCode="0.00%">
                  <c:v>0.0375</c:v>
                </c:pt>
                <c:pt idx="5" c:formatCode="0.00%">
                  <c:v>0.0125</c:v>
                </c:pt>
                <c:pt idx="6" c:formatCode="0.00%">
                  <c:v>0.05</c:v>
                </c:pt>
                <c:pt idx="7" c:formatCode="0.00%">
                  <c:v>0.2</c:v>
                </c:pt>
                <c:pt idx="9" c:formatCode="0.00%">
                  <c:v>0.3125</c:v>
                </c:pt>
                <c:pt idx="10" c:formatCode="0.00%">
                  <c:v>0.025</c:v>
                </c:pt>
                <c:pt idx="11" c:formatCode="0.00%">
                  <c:v>0.3625</c:v>
                </c:pt>
              </c:numCache>
            </c:numRef>
          </c:val>
          <c:smooth val="0"/>
        </c:ser>
        <c:ser>
          <c:idx val="2"/>
          <c:order val="2"/>
          <c:tx>
            <c:strRef>
              <c:f>Sheet1!$A$4</c:f>
              <c:strCache>
                <c:ptCount val="1"/>
                <c:pt idx="0">
                  <c:v>博士生</c:v>
                </c:pt>
              </c:strCache>
            </c:strRef>
          </c:tx>
          <c:dLbls>
            <c:delete val="1"/>
          </c:dLbls>
          <c:cat>
            <c:strRef>
              <c:f>Sheet1!$B$1:$M$1</c:f>
              <c:strCache>
                <c:ptCount val="12"/>
                <c:pt idx="0">
                  <c:v>制造业</c:v>
                </c:pt>
                <c:pt idx="1">
                  <c:v>电力、热力、燃气及水生产和供应业</c:v>
                </c:pt>
                <c:pt idx="2">
                  <c:v>批发和零售业</c:v>
                </c:pt>
                <c:pt idx="3">
                  <c:v>信息传输、软件和信息技术服务业</c:v>
                </c:pt>
                <c:pt idx="4">
                  <c:v>金融业</c:v>
                </c:pt>
                <c:pt idx="5">
                  <c:v>房地产业</c:v>
                </c:pt>
                <c:pt idx="6">
                  <c:v>居民服务、修理和其他服务业</c:v>
                </c:pt>
                <c:pt idx="7">
                  <c:v>教育</c:v>
                </c:pt>
                <c:pt idx="8">
                  <c:v>卫生和社会工作</c:v>
                </c:pt>
                <c:pt idx="9">
                  <c:v>文化、体育和娱乐业</c:v>
                </c:pt>
                <c:pt idx="10">
                  <c:v>公共管理、社会保障和社会组织</c:v>
                </c:pt>
                <c:pt idx="11">
                  <c:v>其他</c:v>
                </c:pt>
              </c:strCache>
            </c:strRef>
          </c:cat>
          <c:val>
            <c:numRef>
              <c:f>Sheet1!$B$4:$M$4</c:f>
              <c:numCache>
                <c:formatCode>General</c:formatCode>
                <c:ptCount val="12"/>
                <c:pt idx="7" c:formatCode="0.00%">
                  <c:v>0.6</c:v>
                </c:pt>
                <c:pt idx="8" c:formatCode="0.00%">
                  <c:v>0.05</c:v>
                </c:pt>
                <c:pt idx="9" c:formatCode="0.00%">
                  <c:v>0.35</c:v>
                </c:pt>
              </c:numCache>
            </c:numRef>
          </c:val>
          <c:smooth val="0"/>
        </c:ser>
        <c:ser>
          <c:idx val="3"/>
          <c:order val="3"/>
          <c:tx>
            <c:strRef>
              <c:f>Sheet1!$A$5</c:f>
              <c:strCache>
                <c:ptCount val="1"/>
                <c:pt idx="0">
                  <c:v>总体</c:v>
                </c:pt>
              </c:strCache>
            </c:strRef>
          </c:tx>
          <c:dLbls>
            <c:delete val="1"/>
          </c:dLbls>
          <c:cat>
            <c:strRef>
              <c:f>Sheet1!$B$1:$M$1</c:f>
              <c:strCache>
                <c:ptCount val="12"/>
                <c:pt idx="0">
                  <c:v>制造业</c:v>
                </c:pt>
                <c:pt idx="1">
                  <c:v>电力、热力、燃气及水生产和供应业</c:v>
                </c:pt>
                <c:pt idx="2">
                  <c:v>批发和零售业</c:v>
                </c:pt>
                <c:pt idx="3">
                  <c:v>信息传输、软件和信息技术服务业</c:v>
                </c:pt>
                <c:pt idx="4">
                  <c:v>金融业</c:v>
                </c:pt>
                <c:pt idx="5">
                  <c:v>房地产业</c:v>
                </c:pt>
                <c:pt idx="6">
                  <c:v>居民服务、修理和其他服务业</c:v>
                </c:pt>
                <c:pt idx="7">
                  <c:v>教育</c:v>
                </c:pt>
                <c:pt idx="8">
                  <c:v>卫生和社会工作</c:v>
                </c:pt>
                <c:pt idx="9">
                  <c:v>文化、体育和娱乐业</c:v>
                </c:pt>
                <c:pt idx="10">
                  <c:v>公共管理、社会保障和社会组织</c:v>
                </c:pt>
                <c:pt idx="11">
                  <c:v>其他</c:v>
                </c:pt>
              </c:strCache>
            </c:strRef>
          </c:cat>
          <c:val>
            <c:numRef>
              <c:f>Sheet1!$B$5:$M$5</c:f>
              <c:numCache>
                <c:formatCode>0.00%</c:formatCode>
                <c:ptCount val="12"/>
                <c:pt idx="0">
                  <c:v>0.008</c:v>
                </c:pt>
                <c:pt idx="1">
                  <c:v>0.0027</c:v>
                </c:pt>
                <c:pt idx="2">
                  <c:v>0.0213</c:v>
                </c:pt>
                <c:pt idx="3">
                  <c:v>0.016</c:v>
                </c:pt>
                <c:pt idx="4">
                  <c:v>0.0053</c:v>
                </c:pt>
                <c:pt idx="5">
                  <c:v>0.0027</c:v>
                </c:pt>
                <c:pt idx="6">
                  <c:v>0.0107</c:v>
                </c:pt>
                <c:pt idx="7">
                  <c:v>0.104</c:v>
                </c:pt>
                <c:pt idx="8">
                  <c:v>0.0027</c:v>
                </c:pt>
                <c:pt idx="9">
                  <c:v>0.304</c:v>
                </c:pt>
                <c:pt idx="10">
                  <c:v>0.0427</c:v>
                </c:pt>
                <c:pt idx="11">
                  <c:v>0.48</c:v>
                </c:pt>
              </c:numCache>
            </c:numRef>
          </c:val>
          <c:smooth val="0"/>
        </c:ser>
        <c:dLbls>
          <c:showLegendKey val="0"/>
          <c:showVal val="0"/>
          <c:showCatName val="0"/>
          <c:showSerName val="0"/>
          <c:showPercent val="0"/>
          <c:showBubbleSize val="0"/>
        </c:dLbls>
        <c:marker val="1"/>
        <c:smooth val="0"/>
        <c:axId val="324653056"/>
        <c:axId val="324654592"/>
      </c:lineChart>
      <c:catAx>
        <c:axId val="32465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4654592"/>
        <c:crosses val="autoZero"/>
        <c:auto val="1"/>
        <c:lblAlgn val="ctr"/>
        <c:lblOffset val="100"/>
        <c:noMultiLvlLbl val="0"/>
      </c:catAx>
      <c:valAx>
        <c:axId val="32465459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4653056"/>
        <c:crosses val="autoZero"/>
        <c:crossBetween val="between"/>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dTable>
      <c:spPr>
        <a:noFill/>
        <a:ln>
          <a:noFill/>
        </a:ln>
        <a:effectLst/>
      </c:spPr>
    </c:plotArea>
    <c:plotVisOnly val="1"/>
    <c:dispBlanksAs val="gap"/>
    <c:showDLblsOverMax val="0"/>
  </c:chart>
  <c:spPr>
    <a:no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23087827856009"/>
          <c:y val="0.0435938060933873"/>
          <c:w val="0.90179694689143"/>
          <c:h val="0.769750103076198"/>
        </c:manualLayout>
      </c:layout>
      <c:barChart>
        <c:barDir val="col"/>
        <c:grouping val="clustered"/>
        <c:varyColors val="0"/>
        <c:ser>
          <c:idx val="0"/>
          <c:order val="0"/>
          <c:tx>
            <c:strRef>
              <c:f>Sheet1!$B$1</c:f>
              <c:strCache>
                <c:ptCount val="1"/>
                <c:pt idx="0">
                  <c:v>2016届</c:v>
                </c:pt>
              </c:strCache>
            </c:strRef>
          </c:tx>
          <c:spPr>
            <a:solidFill>
              <a:schemeClr val="accent5">
                <a:alpha val="91000"/>
              </a:schemeClr>
            </a:solidFill>
          </c:spPr>
          <c:invertIfNegative val="0"/>
          <c:dPt>
            <c:idx val="0"/>
            <c:invertIfNegative val="0"/>
            <c:bubble3D val="0"/>
            <c:explosion val="6"/>
            <c:spPr>
              <a:solidFill>
                <a:schemeClr val="accent5">
                  <a:alpha val="91000"/>
                </a:schemeClr>
              </a:solidFill>
              <a:ln w="19050">
                <a:solidFill>
                  <a:schemeClr val="lt1"/>
                </a:solidFill>
              </a:ln>
              <a:effectLst/>
            </c:spPr>
          </c:dPt>
          <c:dPt>
            <c:idx val="1"/>
            <c:invertIfNegative val="0"/>
            <c:bubble3D val="0"/>
            <c:spPr>
              <a:solidFill>
                <a:schemeClr val="accent5">
                  <a:alpha val="91000"/>
                </a:schemeClr>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Sheet1!$A$2:$A$3</c:f>
              <c:strCache>
                <c:ptCount val="2"/>
                <c:pt idx="0">
                  <c:v>有</c:v>
                </c:pt>
                <c:pt idx="1">
                  <c:v>没有</c:v>
                </c:pt>
              </c:strCache>
            </c:strRef>
          </c:cat>
          <c:val>
            <c:numRef>
              <c:f>Sheet1!$B$2:$B$3</c:f>
              <c:numCache>
                <c:formatCode>###0.0%</c:formatCode>
                <c:ptCount val="2"/>
                <c:pt idx="0">
                  <c:v>0.56</c:v>
                </c:pt>
                <c:pt idx="1">
                  <c:v>0.44</c:v>
                </c:pt>
              </c:numCache>
            </c:numRef>
          </c:val>
        </c:ser>
        <c:ser>
          <c:idx val="1"/>
          <c:order val="1"/>
          <c:tx>
            <c:strRef>
              <c:f>Sheet1!$C$1</c:f>
              <c:strCache>
                <c:ptCount val="1"/>
                <c:pt idx="0">
                  <c:v>2017届</c:v>
                </c:pt>
              </c:strCache>
            </c:strRef>
          </c:tx>
          <c:spPr>
            <a:solidFill>
              <a:schemeClr val="accent5">
                <a:lumMod val="60000"/>
                <a:lumOff val="40000"/>
                <a:alpha val="83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Sheet1!$A$2:$A$3</c:f>
              <c:strCache>
                <c:ptCount val="2"/>
                <c:pt idx="0">
                  <c:v>有</c:v>
                </c:pt>
                <c:pt idx="1">
                  <c:v>没有</c:v>
                </c:pt>
              </c:strCache>
            </c:strRef>
          </c:cat>
          <c:val>
            <c:numRef>
              <c:f>Sheet1!$C$2:$C$3</c:f>
              <c:numCache>
                <c:formatCode>0.00%</c:formatCode>
                <c:ptCount val="2"/>
                <c:pt idx="0">
                  <c:v>0.4106</c:v>
                </c:pt>
                <c:pt idx="1">
                  <c:v>0.5894</c:v>
                </c:pt>
              </c:numCache>
            </c:numRef>
          </c:val>
        </c:ser>
        <c:dLbls>
          <c:showLegendKey val="0"/>
          <c:showVal val="1"/>
          <c:showCatName val="0"/>
          <c:showSerName val="0"/>
          <c:showPercent val="0"/>
          <c:showBubbleSize val="0"/>
        </c:dLbls>
        <c:gapWidth val="318"/>
        <c:overlap val="-11"/>
        <c:axId val="384978304"/>
        <c:axId val="384992384"/>
      </c:barChart>
      <c:catAx>
        <c:axId val="384978304"/>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4992384"/>
        <c:crosses val="autoZero"/>
        <c:auto val="1"/>
        <c:lblAlgn val="ctr"/>
        <c:lblOffset val="100"/>
        <c:noMultiLvlLbl val="0"/>
      </c:catAx>
      <c:valAx>
        <c:axId val="384992384"/>
        <c:scaling>
          <c:orientation val="minMax"/>
        </c:scaling>
        <c:delete val="0"/>
        <c:axPos val="l"/>
        <c:majorGridlines>
          <c:spPr>
            <a:ln w="9525" cap="flat" cmpd="sng" algn="ctr">
              <a:solidFill>
                <a:schemeClr val="bg1">
                  <a:lumMod val="75000"/>
                </a:schemeClr>
              </a:solidFill>
              <a:prstDash val="solid"/>
              <a:round/>
            </a:ln>
          </c:spPr>
        </c:majorGridlines>
        <c:numFmt formatCode="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lumMod val="75000"/>
                    <a:lumOff val="25000"/>
                  </a:schemeClr>
                </a:solidFill>
                <a:latin typeface="+mn-lt"/>
                <a:ea typeface="+mn-ea"/>
                <a:cs typeface="+mn-cs"/>
              </a:defRPr>
            </a:pPr>
          </a:p>
        </c:txPr>
        <c:crossAx val="384978304"/>
        <c:crosses val="autoZero"/>
        <c:crossBetween val="between"/>
      </c:valAx>
      <c:spPr>
        <a:noFill/>
        <a:ln>
          <a:noFill/>
        </a:ln>
        <a:effectLst/>
      </c:spPr>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755711335456109"/>
          <c:y val="0.0251858014240174"/>
          <c:w val="0.91606940981907"/>
          <c:h val="0.862654721961763"/>
        </c:manualLayout>
      </c:layout>
      <c:barChart>
        <c:barDir val="col"/>
        <c:grouping val="clustered"/>
        <c:varyColors val="0"/>
        <c:ser>
          <c:idx val="0"/>
          <c:order val="0"/>
          <c:tx>
            <c:strRef>
              <c:f>Sheet1!$B$1</c:f>
              <c:strCache>
                <c:ptCount val="1"/>
                <c:pt idx="0">
                  <c:v/>
                </c:pt>
              </c:strCache>
            </c:strRef>
          </c:tx>
          <c:spPr>
            <a:solidFill>
              <a:schemeClr val="accent5">
                <a:alpha val="80000"/>
              </a:schemeClr>
            </a:solidFill>
            <a:ln>
              <a:noFill/>
            </a:ln>
            <a:effectLst/>
          </c:spPr>
          <c:invertIfNegative val="0"/>
          <c:dPt>
            <c:idx val="0"/>
            <c:invertIfNegative val="0"/>
            <c:bubble3D val="0"/>
            <c:spPr>
              <a:solidFill>
                <a:srgbClr val="358DA5">
                  <a:alpha val="80000"/>
                </a:srgbClr>
              </a:solidFill>
              <a:ln>
                <a:noFill/>
              </a:ln>
              <a:effectLst/>
            </c:spPr>
          </c:dPt>
          <c:dPt>
            <c:idx val="1"/>
            <c:invertIfNegative val="0"/>
            <c:bubble3D val="0"/>
            <c:spPr>
              <a:solidFill>
                <a:srgbClr val="358DA5">
                  <a:alpha val="80000"/>
                </a:srgbClr>
              </a:solidFill>
              <a:ln>
                <a:noFill/>
              </a:ln>
              <a:effectLst/>
            </c:spPr>
          </c:dPt>
          <c:dPt>
            <c:idx val="3"/>
            <c:invertIfNegative val="0"/>
            <c:bubble3D val="0"/>
            <c:spPr>
              <a:solidFill>
                <a:schemeClr val="accent5">
                  <a:lumMod val="60000"/>
                  <a:lumOff val="40000"/>
                  <a:alpha val="80000"/>
                </a:schemeClr>
              </a:solidFill>
              <a:ln>
                <a:noFill/>
              </a:ln>
              <a:effectLst/>
            </c:spPr>
          </c:dPt>
          <c:dPt>
            <c:idx val="4"/>
            <c:invertIfNegative val="0"/>
            <c:bubble3D val="0"/>
            <c:spPr>
              <a:solidFill>
                <a:schemeClr val="accent5">
                  <a:lumMod val="60000"/>
                  <a:lumOff val="40000"/>
                  <a:alpha val="80000"/>
                </a:schemeClr>
              </a:solidFill>
              <a:ln>
                <a:noFill/>
              </a:ln>
              <a:effectLst/>
            </c:spPr>
          </c:dPt>
          <c:dLbls>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0"/>
                <c15:leaderLines/>
              </c:ext>
            </c:extLst>
          </c:dLbls>
          <c:cat>
            <c:strRef>
              <c:f>Sheet1!$A$2:$A$6</c:f>
              <c:strCache>
                <c:ptCount val="5"/>
                <c:pt idx="0">
                  <c:v>很大</c:v>
                </c:pt>
                <c:pt idx="1">
                  <c:v>大</c:v>
                </c:pt>
                <c:pt idx="2">
                  <c:v>不好说</c:v>
                </c:pt>
                <c:pt idx="3">
                  <c:v>小</c:v>
                </c:pt>
                <c:pt idx="4">
                  <c:v>很小</c:v>
                </c:pt>
              </c:strCache>
            </c:strRef>
          </c:cat>
          <c:val>
            <c:numRef>
              <c:f>Sheet1!$B$2:$B$6</c:f>
              <c:numCache>
                <c:formatCode>0.0%</c:formatCode>
                <c:ptCount val="5"/>
                <c:pt idx="0">
                  <c:v>0.2583</c:v>
                </c:pt>
                <c:pt idx="1">
                  <c:v>0.2715</c:v>
                </c:pt>
                <c:pt idx="2">
                  <c:v>0.4106</c:v>
                </c:pt>
                <c:pt idx="3">
                  <c:v>0.053</c:v>
                </c:pt>
                <c:pt idx="4">
                  <c:v>0.0066</c:v>
                </c:pt>
              </c:numCache>
            </c:numRef>
          </c:val>
          <c:extLst>
            <c:ext xmlns:c15="http://schemas.microsoft.com/office/drawing/2012/chart" uri="{02D57815-91ED-43cb-92C2-25804820EDAC}">
              <c15:datalabelsRange>
                <c15:f>Sheet1!$C$2:$C$6</c15:f>
                <c15:dlblRangeCache>
                  <c:ptCount val="5"/>
                </c15:dlblRangeCache>
              </c15:datalabelsRange>
            </c:ext>
          </c:extLst>
        </c:ser>
        <c:dLbls>
          <c:showLegendKey val="0"/>
          <c:showVal val="0"/>
          <c:showCatName val="0"/>
          <c:showSerName val="0"/>
          <c:showPercent val="0"/>
          <c:showBubbleSize val="0"/>
        </c:dLbls>
        <c:gapWidth val="182"/>
        <c:axId val="387023616"/>
        <c:axId val="387025152"/>
      </c:barChart>
      <c:catAx>
        <c:axId val="38702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87025152"/>
        <c:crosses val="autoZero"/>
        <c:auto val="1"/>
        <c:lblAlgn val="ctr"/>
        <c:lblOffset val="100"/>
        <c:noMultiLvlLbl val="0"/>
      </c:catAx>
      <c:valAx>
        <c:axId val="387025152"/>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87023616"/>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ln>
            <a:noFill/>
          </a:ln>
        </a:defRPr>
      </a:pP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755711335456109"/>
          <c:y val="0.0251858014240174"/>
          <c:w val="0.91606940981907"/>
          <c:h val="0.758950908914164"/>
        </c:manualLayout>
      </c:layout>
      <c:barChart>
        <c:barDir val="col"/>
        <c:grouping val="clustered"/>
        <c:varyColors val="0"/>
        <c:ser>
          <c:idx val="0"/>
          <c:order val="0"/>
          <c:tx>
            <c:strRef>
              <c:f>Sheet1!$B$1</c:f>
              <c:strCache>
                <c:ptCount val="1"/>
                <c:pt idx="0">
                  <c:v>2016届</c:v>
                </c:pt>
              </c:strCache>
            </c:strRef>
          </c:tx>
          <c:spPr>
            <a:solidFill>
              <a:schemeClr val="accent5">
                <a:lumMod val="75000"/>
                <a:alpha val="80000"/>
              </a:schemeClr>
            </a:solidFill>
            <a:ln>
              <a:noFill/>
            </a:ln>
            <a:effectLst/>
          </c:spPr>
          <c:invertIfNegative val="0"/>
          <c:dLbls>
            <c:dLbl>
              <c:idx val="2"/>
              <c:layout>
                <c:manualLayout>
                  <c:x val="-0.0111296605453534"/>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667779632721203"/>
                  <c:y val="-9.05339335681432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66777963272120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spAutoFit/>
              </a:bodyPr>
              <a:lstStyle/>
              <a:p>
                <a:pPr>
                  <a:defRPr lang="zh-CN" sz="10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Sheet1!$A$2:$A$6</c:f>
              <c:strCache>
                <c:ptCount val="5"/>
                <c:pt idx="0">
                  <c:v>很大</c:v>
                </c:pt>
                <c:pt idx="1">
                  <c:v>大</c:v>
                </c:pt>
                <c:pt idx="2">
                  <c:v>不好说</c:v>
                </c:pt>
                <c:pt idx="3">
                  <c:v>小</c:v>
                </c:pt>
                <c:pt idx="4">
                  <c:v>很小</c:v>
                </c:pt>
              </c:strCache>
            </c:strRef>
          </c:cat>
          <c:val>
            <c:numRef>
              <c:f>Sheet1!$B$2:$B$6</c:f>
              <c:numCache>
                <c:formatCode>###0.00%</c:formatCode>
                <c:ptCount val="5"/>
                <c:pt idx="0">
                  <c:v>0.2015503875969</c:v>
                </c:pt>
                <c:pt idx="1">
                  <c:v>0.325581395348838</c:v>
                </c:pt>
                <c:pt idx="2">
                  <c:v>0.434108527131783</c:v>
                </c:pt>
                <c:pt idx="3">
                  <c:v>0.0155038759689923</c:v>
                </c:pt>
                <c:pt idx="4">
                  <c:v>0.0232558139534884</c:v>
                </c:pt>
              </c:numCache>
            </c:numRef>
          </c:val>
        </c:ser>
        <c:ser>
          <c:idx val="1"/>
          <c:order val="1"/>
          <c:tx>
            <c:strRef>
              <c:f>Sheet1!$C$1</c:f>
              <c:strCache>
                <c:ptCount val="1"/>
                <c:pt idx="0">
                  <c:v>2017届</c:v>
                </c:pt>
              </c:strCache>
            </c:strRef>
          </c:tx>
          <c:invertIfNegative val="0"/>
          <c:dLbls>
            <c:dLbl>
              <c:idx val="0"/>
              <c:layout>
                <c:manualLayout>
                  <c:x val="0.00445186421814134"/>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890372843628267"/>
                  <c:y val="0.0098765432098766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11296605453534"/>
                  <c:y val="0.0049382716049382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spAutoFit/>
              </a:bodyPr>
              <a:lstStyle/>
              <a:p>
                <a:pPr>
                  <a:defRPr lang="zh-CN" sz="10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Sheet1!$A$2:$A$6</c:f>
              <c:strCache>
                <c:ptCount val="5"/>
                <c:pt idx="0">
                  <c:v>很大</c:v>
                </c:pt>
                <c:pt idx="1">
                  <c:v>大</c:v>
                </c:pt>
                <c:pt idx="2">
                  <c:v>不好说</c:v>
                </c:pt>
                <c:pt idx="3">
                  <c:v>小</c:v>
                </c:pt>
                <c:pt idx="4">
                  <c:v>很小</c:v>
                </c:pt>
              </c:strCache>
            </c:strRef>
          </c:cat>
          <c:val>
            <c:numRef>
              <c:f>Sheet1!$C$2:$C$6</c:f>
              <c:numCache>
                <c:formatCode>0.00%</c:formatCode>
                <c:ptCount val="5"/>
                <c:pt idx="0">
                  <c:v>0.2583</c:v>
                </c:pt>
                <c:pt idx="1">
                  <c:v>0.2715</c:v>
                </c:pt>
                <c:pt idx="2">
                  <c:v>0.4106</c:v>
                </c:pt>
                <c:pt idx="3">
                  <c:v>0.053</c:v>
                </c:pt>
                <c:pt idx="4">
                  <c:v>0.0066</c:v>
                </c:pt>
              </c:numCache>
            </c:numRef>
          </c:val>
        </c:ser>
        <c:dLbls>
          <c:showLegendKey val="0"/>
          <c:showVal val="1"/>
          <c:showCatName val="0"/>
          <c:showSerName val="0"/>
          <c:showPercent val="0"/>
          <c:showBubbleSize val="0"/>
        </c:dLbls>
        <c:gapWidth val="158"/>
        <c:overlap val="-11"/>
        <c:axId val="385042688"/>
        <c:axId val="385044480"/>
      </c:barChart>
      <c:catAx>
        <c:axId val="38504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85044480"/>
        <c:crosses val="autoZero"/>
        <c:auto val="1"/>
        <c:lblAlgn val="ctr"/>
        <c:lblOffset val="100"/>
        <c:noMultiLvlLbl val="0"/>
      </c:catAx>
      <c:valAx>
        <c:axId val="385044480"/>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85042688"/>
        <c:crosses val="autoZero"/>
        <c:crossBetween val="between"/>
      </c:valAx>
      <c:spPr>
        <a:noFill/>
        <a:ln>
          <a:noFill/>
        </a:ln>
        <a:effectLst/>
      </c:spPr>
    </c:plotArea>
    <c:legend>
      <c:legendPos val="b"/>
      <c:layout/>
      <c:overlay val="0"/>
      <c:txPr>
        <a:bodyPr rot="0" spcFirstLastPara="0" vertOverflow="ellipsis" vert="horz" wrap="square" anchor="ctr" anchorCtr="1"/>
        <a:lstStyle/>
        <a:p>
          <a:pPr>
            <a:defRPr lang="zh-CN" sz="1000" b="0" i="0" u="none" strike="noStrike" kern="1200" baseline="0">
              <a:ln>
                <a:noFill/>
              </a:ln>
              <a:solidFill>
                <a:schemeClr val="tx1"/>
              </a:solidFill>
              <a:latin typeface="+mn-lt"/>
              <a:ea typeface="+mn-ea"/>
              <a:cs typeface="+mn-cs"/>
            </a:defRPr>
          </a:pPr>
        </a:p>
      </c:txPr>
    </c:legend>
    <c:plotVisOnly val="1"/>
    <c:dispBlanksAs val="gap"/>
    <c:showDLblsOverMax val="0"/>
  </c:chart>
  <c:spPr>
    <a:solidFill>
      <a:schemeClr val="bg1"/>
    </a:solidFill>
    <a:ln w="9525" cap="flat" cmpd="sng" algn="ctr">
      <a:noFill/>
      <a:prstDash val="solid"/>
      <a:round/>
    </a:ln>
    <a:effectLst/>
  </c:spPr>
  <c:txPr>
    <a:bodyPr/>
    <a:lstStyle/>
    <a:p>
      <a:pPr>
        <a:defRPr lang="zh-CN">
          <a:ln>
            <a:noFill/>
          </a:ln>
        </a:defRPr>
      </a:pP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755711335456109"/>
          <c:y val="0.0251858014240174"/>
          <c:w val="0.91606940981907"/>
          <c:h val="0.862654721961763"/>
        </c:manualLayout>
      </c:layout>
      <c:barChart>
        <c:barDir val="col"/>
        <c:grouping val="clustered"/>
        <c:varyColors val="0"/>
        <c:ser>
          <c:idx val="0"/>
          <c:order val="0"/>
          <c:tx>
            <c:strRef>
              <c:f>Sheet1!$B$1</c:f>
              <c:strCache>
                <c:ptCount val="1"/>
                <c:pt idx="0">
                  <c:v/>
                </c:pt>
              </c:strCache>
            </c:strRef>
          </c:tx>
          <c:spPr>
            <a:solidFill>
              <a:schemeClr val="accent5">
                <a:alpha val="80000"/>
              </a:schemeClr>
            </a:solidFill>
            <a:ln>
              <a:noFill/>
            </a:ln>
            <a:effectLst/>
          </c:spPr>
          <c:invertIfNegative val="0"/>
          <c:dPt>
            <c:idx val="0"/>
            <c:invertIfNegative val="0"/>
            <c:bubble3D val="0"/>
            <c:spPr>
              <a:solidFill>
                <a:srgbClr val="358DA5">
                  <a:alpha val="80000"/>
                </a:srgbClr>
              </a:solidFill>
              <a:ln>
                <a:noFill/>
              </a:ln>
              <a:effectLst/>
            </c:spPr>
          </c:dPt>
          <c:dPt>
            <c:idx val="1"/>
            <c:invertIfNegative val="0"/>
            <c:bubble3D val="0"/>
            <c:spPr>
              <a:solidFill>
                <a:srgbClr val="358DA5">
                  <a:alpha val="80000"/>
                </a:srgbClr>
              </a:solidFill>
              <a:ln>
                <a:noFill/>
              </a:ln>
              <a:effectLst/>
            </c:spPr>
          </c:dPt>
          <c:dPt>
            <c:idx val="3"/>
            <c:invertIfNegative val="0"/>
            <c:bubble3D val="0"/>
            <c:spPr>
              <a:solidFill>
                <a:schemeClr val="accent5">
                  <a:lumMod val="60000"/>
                  <a:lumOff val="40000"/>
                  <a:alpha val="80000"/>
                </a:schemeClr>
              </a:solidFill>
              <a:ln>
                <a:noFill/>
              </a:ln>
              <a:effectLst/>
            </c:spPr>
          </c:dPt>
          <c:dPt>
            <c:idx val="4"/>
            <c:invertIfNegative val="0"/>
            <c:bubble3D val="0"/>
            <c:spPr>
              <a:solidFill>
                <a:schemeClr val="accent5">
                  <a:lumMod val="60000"/>
                  <a:lumOff val="40000"/>
                  <a:alpha val="80000"/>
                </a:schemeClr>
              </a:solidFill>
              <a:ln>
                <a:noFill/>
              </a:ln>
              <a:effectLst/>
            </c:spPr>
          </c:dPt>
          <c:dLbls>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0"/>
                <c15:leaderLines/>
              </c:ext>
            </c:extLst>
          </c:dLbls>
          <c:cat>
            <c:strRef>
              <c:f>Sheet1!$A$2:$A$6</c:f>
              <c:strCache>
                <c:ptCount val="5"/>
                <c:pt idx="0">
                  <c:v>很清晰</c:v>
                </c:pt>
                <c:pt idx="1">
                  <c:v>清晰</c:v>
                </c:pt>
                <c:pt idx="2">
                  <c:v>不好说</c:v>
                </c:pt>
                <c:pt idx="3">
                  <c:v>不清晰</c:v>
                </c:pt>
                <c:pt idx="4">
                  <c:v>很不清晰</c:v>
                </c:pt>
              </c:strCache>
            </c:strRef>
          </c:cat>
          <c:val>
            <c:numRef>
              <c:f>Sheet1!$B$2:$B$6</c:f>
              <c:numCache>
                <c:formatCode>0.0%</c:formatCode>
                <c:ptCount val="5"/>
                <c:pt idx="0">
                  <c:v>0.2252</c:v>
                </c:pt>
                <c:pt idx="1">
                  <c:v>0.324500000000001</c:v>
                </c:pt>
                <c:pt idx="2">
                  <c:v>0.423800000000001</c:v>
                </c:pt>
                <c:pt idx="3">
                  <c:v>0.0199000000000001</c:v>
                </c:pt>
                <c:pt idx="4">
                  <c:v>0.0066</c:v>
                </c:pt>
              </c:numCache>
            </c:numRef>
          </c:val>
          <c:extLst>
            <c:ext xmlns:c15="http://schemas.microsoft.com/office/drawing/2012/chart" uri="{02D57815-91ED-43cb-92C2-25804820EDAC}">
              <c15:datalabelsRange>
                <c15:f>Sheet1!$C$2:$C$6</c15:f>
                <c15:dlblRangeCache>
                  <c:ptCount val="5"/>
                </c15:dlblRangeCache>
              </c15:datalabelsRange>
            </c:ext>
          </c:extLst>
        </c:ser>
        <c:dLbls>
          <c:showLegendKey val="0"/>
          <c:showVal val="0"/>
          <c:showCatName val="0"/>
          <c:showSerName val="0"/>
          <c:showPercent val="0"/>
          <c:showBubbleSize val="0"/>
        </c:dLbls>
        <c:gapWidth val="182"/>
        <c:axId val="384798080"/>
        <c:axId val="384799872"/>
      </c:barChart>
      <c:catAx>
        <c:axId val="38479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84799872"/>
        <c:crosses val="autoZero"/>
        <c:auto val="1"/>
        <c:lblAlgn val="ctr"/>
        <c:lblOffset val="100"/>
        <c:noMultiLvlLbl val="0"/>
      </c:catAx>
      <c:valAx>
        <c:axId val="384799872"/>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84798080"/>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ln>
            <a:noFill/>
          </a:ln>
        </a:defRPr>
      </a:pP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442231711631657"/>
          <c:y val="0.0293129165705299"/>
          <c:w val="0.91606940981907"/>
          <c:h val="0.857855474257449"/>
        </c:manualLayout>
      </c:layout>
      <c:barChart>
        <c:barDir val="col"/>
        <c:grouping val="clustered"/>
        <c:varyColors val="0"/>
        <c:ser>
          <c:idx val="0"/>
          <c:order val="0"/>
          <c:tx>
            <c:strRef>
              <c:f>Sheet1!$B$1</c:f>
              <c:strCache>
                <c:ptCount val="1"/>
                <c:pt idx="0">
                  <c:v/>
                </c:pt>
              </c:strCache>
            </c:strRef>
          </c:tx>
          <c:spPr>
            <a:solidFill>
              <a:schemeClr val="accent5">
                <a:alpha val="85000"/>
              </a:scheme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1年以内</c:v>
                </c:pt>
                <c:pt idx="1">
                  <c:v>1～3年</c:v>
                </c:pt>
                <c:pt idx="2">
                  <c:v>3～5年</c:v>
                </c:pt>
                <c:pt idx="3">
                  <c:v>5年及以上</c:v>
                </c:pt>
              </c:strCache>
            </c:strRef>
          </c:cat>
          <c:val>
            <c:numRef>
              <c:f>Sheet1!$B$2:$B$5</c:f>
              <c:numCache>
                <c:formatCode>0.0%</c:formatCode>
                <c:ptCount val="4"/>
                <c:pt idx="0">
                  <c:v>0.324500000000001</c:v>
                </c:pt>
                <c:pt idx="1">
                  <c:v>0.404</c:v>
                </c:pt>
                <c:pt idx="2">
                  <c:v>0.1391</c:v>
                </c:pt>
                <c:pt idx="3">
                  <c:v>0.1325</c:v>
                </c:pt>
              </c:numCache>
            </c:numRef>
          </c:val>
        </c:ser>
        <c:dLbls>
          <c:showLegendKey val="0"/>
          <c:showVal val="1"/>
          <c:showCatName val="0"/>
          <c:showSerName val="0"/>
          <c:showPercent val="0"/>
          <c:showBubbleSize val="0"/>
        </c:dLbls>
        <c:gapWidth val="65"/>
        <c:axId val="385355776"/>
        <c:axId val="385358464"/>
      </c:barChart>
      <c:catAx>
        <c:axId val="3853557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85358464"/>
        <c:crosses val="autoZero"/>
        <c:auto val="1"/>
        <c:lblAlgn val="ctr"/>
        <c:lblOffset val="100"/>
        <c:noMultiLvlLbl val="0"/>
      </c:catAx>
      <c:valAx>
        <c:axId val="3853584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 sourceLinked="0"/>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5355776"/>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755711335456109"/>
          <c:y val="0.0251858014240174"/>
          <c:w val="0.91606940981907"/>
          <c:h val="0.793518810148732"/>
        </c:manualLayout>
      </c:layout>
      <c:barChart>
        <c:barDir val="col"/>
        <c:grouping val="clustered"/>
        <c:varyColors val="0"/>
        <c:ser>
          <c:idx val="0"/>
          <c:order val="0"/>
          <c:tx>
            <c:strRef>
              <c:f>Sheet1!$B$1</c:f>
              <c:strCache>
                <c:ptCount val="1"/>
                <c:pt idx="0">
                  <c:v>2016届</c:v>
                </c:pt>
              </c:strCache>
            </c:strRef>
          </c:tx>
          <c:spPr>
            <a:solidFill>
              <a:schemeClr val="accent5">
                <a:lumMod val="75000"/>
                <a:alpha val="80000"/>
              </a:schemeClr>
            </a:solidFill>
            <a:ln>
              <a:noFill/>
            </a:ln>
            <a:effectLst/>
          </c:spPr>
          <c:invertIfNegative val="0"/>
          <c:dLbls>
            <c:dLbl>
              <c:idx val="2"/>
              <c:layout>
                <c:manualLayout>
                  <c:x val="0.0022259321090706"/>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667779632721203"/>
                  <c:y val="-9.05339335681432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spAutoFit/>
              </a:bodyPr>
              <a:lstStyle/>
              <a:p>
                <a:pPr>
                  <a:defRPr lang="zh-CN" sz="10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Sheet1!$A$2:$A$5</c:f>
              <c:strCache>
                <c:ptCount val="4"/>
                <c:pt idx="0">
                  <c:v>1年以内</c:v>
                </c:pt>
                <c:pt idx="1">
                  <c:v>1～3年</c:v>
                </c:pt>
                <c:pt idx="2">
                  <c:v>3～5年</c:v>
                </c:pt>
                <c:pt idx="3">
                  <c:v>5年及以上</c:v>
                </c:pt>
              </c:strCache>
            </c:strRef>
          </c:cat>
          <c:val>
            <c:numRef>
              <c:f>Sheet1!$B$2:$B$5</c:f>
              <c:numCache>
                <c:formatCode>###0.00%</c:formatCode>
                <c:ptCount val="4"/>
                <c:pt idx="0">
                  <c:v>0.325581395348838</c:v>
                </c:pt>
                <c:pt idx="1">
                  <c:v>0.48062015503876</c:v>
                </c:pt>
                <c:pt idx="2">
                  <c:v>0.0697674418604652</c:v>
                </c:pt>
                <c:pt idx="3">
                  <c:v>0.124031007751938</c:v>
                </c:pt>
              </c:numCache>
            </c:numRef>
          </c:val>
        </c:ser>
        <c:ser>
          <c:idx val="1"/>
          <c:order val="1"/>
          <c:tx>
            <c:strRef>
              <c:f>Sheet1!$C$1</c:f>
              <c:strCache>
                <c:ptCount val="1"/>
                <c:pt idx="0">
                  <c:v>2017届</c:v>
                </c:pt>
              </c:strCache>
            </c:strRef>
          </c:tx>
          <c:invertIfNegative val="0"/>
          <c:dLbls>
            <c:dLbl>
              <c:idx val="0"/>
              <c:layout>
                <c:manualLayout>
                  <c:x val="0.00445186421814134"/>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890372843628267"/>
                  <c:y val="0.0098765432098766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spAutoFit/>
              </a:bodyPr>
              <a:lstStyle/>
              <a:p>
                <a:pPr>
                  <a:defRPr lang="zh-CN" sz="10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Sheet1!$A$2:$A$5</c:f>
              <c:strCache>
                <c:ptCount val="4"/>
                <c:pt idx="0">
                  <c:v>1年以内</c:v>
                </c:pt>
                <c:pt idx="1">
                  <c:v>1～3年</c:v>
                </c:pt>
                <c:pt idx="2">
                  <c:v>3～5年</c:v>
                </c:pt>
                <c:pt idx="3">
                  <c:v>5年及以上</c:v>
                </c:pt>
              </c:strCache>
            </c:strRef>
          </c:cat>
          <c:val>
            <c:numRef>
              <c:f>Sheet1!$C$2:$C$5</c:f>
              <c:numCache>
                <c:formatCode>0.00%</c:formatCode>
                <c:ptCount val="4"/>
                <c:pt idx="0">
                  <c:v>0.3245</c:v>
                </c:pt>
                <c:pt idx="1">
                  <c:v>0.404</c:v>
                </c:pt>
                <c:pt idx="2">
                  <c:v>0.1391</c:v>
                </c:pt>
                <c:pt idx="3">
                  <c:v>0.1325</c:v>
                </c:pt>
              </c:numCache>
            </c:numRef>
          </c:val>
        </c:ser>
        <c:dLbls>
          <c:showLegendKey val="0"/>
          <c:showVal val="1"/>
          <c:showCatName val="0"/>
          <c:showSerName val="0"/>
          <c:showPercent val="0"/>
          <c:showBubbleSize val="0"/>
        </c:dLbls>
        <c:gapWidth val="182"/>
        <c:overlap val="-7"/>
        <c:axId val="387467904"/>
        <c:axId val="387481984"/>
      </c:barChart>
      <c:catAx>
        <c:axId val="38746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87481984"/>
        <c:crosses val="autoZero"/>
        <c:auto val="1"/>
        <c:lblAlgn val="ctr"/>
        <c:lblOffset val="100"/>
        <c:noMultiLvlLbl val="0"/>
      </c:catAx>
      <c:valAx>
        <c:axId val="387481984"/>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87467904"/>
        <c:crosses val="autoZero"/>
        <c:crossBetween val="between"/>
      </c:valAx>
      <c:spPr>
        <a:noFill/>
        <a:ln>
          <a:noFill/>
        </a:ln>
        <a:effectLst/>
      </c:spPr>
    </c:plotArea>
    <c:legend>
      <c:legendPos val="b"/>
      <c:layout/>
      <c:overlay val="0"/>
      <c:txPr>
        <a:bodyPr rot="0" spcFirstLastPara="0" vertOverflow="ellipsis" vert="horz" wrap="square" anchor="ctr" anchorCtr="1"/>
        <a:lstStyle/>
        <a:p>
          <a:pPr>
            <a:defRPr lang="zh-CN" sz="1000" b="0" i="0" u="none" strike="noStrike" kern="1200" baseline="0">
              <a:ln>
                <a:noFill/>
              </a:ln>
              <a:solidFill>
                <a:schemeClr val="tx1"/>
              </a:solidFill>
              <a:latin typeface="+mn-lt"/>
              <a:ea typeface="+mn-ea"/>
              <a:cs typeface="+mn-cs"/>
            </a:defRPr>
          </a:pPr>
        </a:p>
      </c:txPr>
    </c:legend>
    <c:plotVisOnly val="1"/>
    <c:dispBlanksAs val="gap"/>
    <c:showDLblsOverMax val="0"/>
  </c:chart>
  <c:spPr>
    <a:solidFill>
      <a:schemeClr val="bg1"/>
    </a:solidFill>
    <a:ln w="9525" cap="flat" cmpd="sng" algn="ctr">
      <a:noFill/>
      <a:prstDash val="solid"/>
      <a:round/>
    </a:ln>
    <a:effectLst/>
  </c:spPr>
  <c:txPr>
    <a:bodyPr/>
    <a:lstStyle/>
    <a:p>
      <a:pPr>
        <a:defRPr lang="zh-CN">
          <a:ln>
            <a:noFill/>
          </a:ln>
        </a:defRPr>
      </a:pPr>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755711335456109"/>
          <c:y val="0.0251858014240174"/>
          <c:w val="0.91606940981907"/>
          <c:h val="0.862654721961763"/>
        </c:manualLayout>
      </c:layout>
      <c:barChart>
        <c:barDir val="col"/>
        <c:grouping val="clustered"/>
        <c:varyColors val="0"/>
        <c:ser>
          <c:idx val="0"/>
          <c:order val="0"/>
          <c:tx>
            <c:strRef>
              <c:f>Sheet1!$B$1</c:f>
              <c:strCache>
                <c:ptCount val="1"/>
                <c:pt idx="0">
                  <c:v/>
                </c:pt>
              </c:strCache>
            </c:strRef>
          </c:tx>
          <c:spPr>
            <a:solidFill>
              <a:schemeClr val="accent5">
                <a:alpha val="80000"/>
              </a:schemeClr>
            </a:solidFill>
            <a:ln>
              <a:noFill/>
            </a:ln>
            <a:effectLst/>
          </c:spPr>
          <c:invertIfNegative val="0"/>
          <c:dPt>
            <c:idx val="0"/>
            <c:invertIfNegative val="0"/>
            <c:bubble3D val="0"/>
            <c:spPr>
              <a:solidFill>
                <a:srgbClr val="358DA5">
                  <a:alpha val="80000"/>
                </a:srgbClr>
              </a:solidFill>
              <a:ln>
                <a:noFill/>
              </a:ln>
              <a:effectLst/>
            </c:spPr>
          </c:dPt>
          <c:dPt>
            <c:idx val="1"/>
            <c:invertIfNegative val="0"/>
            <c:bubble3D val="0"/>
            <c:spPr>
              <a:solidFill>
                <a:srgbClr val="358DA5">
                  <a:alpha val="80000"/>
                </a:srgbClr>
              </a:solidFill>
              <a:ln>
                <a:noFill/>
              </a:ln>
              <a:effectLst/>
            </c:spPr>
          </c:dPt>
          <c:dPt>
            <c:idx val="3"/>
            <c:invertIfNegative val="0"/>
            <c:bubble3D val="0"/>
            <c:spPr>
              <a:solidFill>
                <a:schemeClr val="accent5">
                  <a:lumMod val="60000"/>
                  <a:lumOff val="40000"/>
                  <a:alpha val="80000"/>
                </a:schemeClr>
              </a:solidFill>
              <a:ln>
                <a:noFill/>
              </a:ln>
              <a:effectLst/>
            </c:spPr>
          </c:dPt>
          <c:dLbls>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0"/>
                <c15:leaderLines/>
              </c:ext>
            </c:extLst>
          </c:dLbls>
          <c:cat>
            <c:strRef>
              <c:f>Sheet1!$A$2:$A$5</c:f>
              <c:strCache>
                <c:ptCount val="4"/>
                <c:pt idx="0">
                  <c:v>很相关</c:v>
                </c:pt>
                <c:pt idx="1">
                  <c:v>相关</c:v>
                </c:pt>
                <c:pt idx="2">
                  <c:v>不好说</c:v>
                </c:pt>
                <c:pt idx="3">
                  <c:v>不相关</c:v>
                </c:pt>
              </c:strCache>
            </c:strRef>
          </c:cat>
          <c:val>
            <c:numRef>
              <c:f>Sheet1!$B$2:$B$5</c:f>
              <c:numCache>
                <c:formatCode>0.0%</c:formatCode>
                <c:ptCount val="4"/>
                <c:pt idx="0">
                  <c:v>0.457</c:v>
                </c:pt>
                <c:pt idx="1">
                  <c:v>0.370900000000001</c:v>
                </c:pt>
                <c:pt idx="2">
                  <c:v>0.1325</c:v>
                </c:pt>
                <c:pt idx="3">
                  <c:v>0.0397</c:v>
                </c:pt>
              </c:numCache>
            </c:numRef>
          </c:val>
          <c:extLst>
            <c:ext xmlns:c15="http://schemas.microsoft.com/office/drawing/2012/chart" uri="{02D57815-91ED-43cb-92C2-25804820EDAC}">
              <c15:datalabelsRange>
                <c15:f>Sheet1!$C$2:$C$6</c15:f>
                <c15:dlblRangeCache>
                  <c:ptCount val="5"/>
                </c15:dlblRangeCache>
              </c15:datalabelsRange>
            </c:ext>
          </c:extLst>
        </c:ser>
        <c:dLbls>
          <c:showLegendKey val="0"/>
          <c:showVal val="0"/>
          <c:showCatName val="0"/>
          <c:showSerName val="0"/>
          <c:showPercent val="0"/>
          <c:showBubbleSize val="0"/>
        </c:dLbls>
        <c:gapWidth val="182"/>
        <c:axId val="387058688"/>
        <c:axId val="387060480"/>
      </c:barChart>
      <c:catAx>
        <c:axId val="38705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87060480"/>
        <c:crosses val="autoZero"/>
        <c:auto val="1"/>
        <c:lblAlgn val="ctr"/>
        <c:lblOffset val="100"/>
        <c:noMultiLvlLbl val="0"/>
      </c:catAx>
      <c:valAx>
        <c:axId val="387060480"/>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87058688"/>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ln>
            <a:noFill/>
          </a:ln>
        </a:defRPr>
      </a:pP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10734463276838"/>
          <c:y val="0.0547263681592041"/>
          <c:w val="0.953528328824055"/>
          <c:h val="0.608090748313116"/>
        </c:manualLayout>
      </c:layout>
      <c:lineChart>
        <c:grouping val="standard"/>
        <c:varyColors val="0"/>
        <c:ser>
          <c:idx val="0"/>
          <c:order val="0"/>
          <c:tx>
            <c:strRef>
              <c:f>Sheet1!$B$1</c:f>
              <c:strCache>
                <c:ptCount val="1"/>
                <c:pt idx="0">
                  <c:v/>
                </c:pt>
              </c:strCache>
            </c:strRef>
          </c:tx>
          <c:spPr>
            <a:ln w="31750" cap="rnd" cmpd="sng" algn="ctr">
              <a:solidFill>
                <a:schemeClr val="accent5"/>
              </a:solidFill>
              <a:prstDash val="solid"/>
              <a:round/>
            </a:ln>
            <a:effectLst/>
          </c:spPr>
          <c:marker>
            <c:symbol val="circle"/>
            <c:size val="17"/>
            <c:spPr>
              <a:solidFill>
                <a:schemeClr val="accent5"/>
              </a:solidFill>
              <a:ln w="9525" cap="flat" cmpd="sng" algn="ctr">
                <a:noFill/>
                <a:prstDash val="solid"/>
                <a:round/>
              </a:ln>
              <a:effectLst/>
            </c:spPr>
          </c:marker>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Sheet1!$A$2:$A$13</c:f>
              <c:strCache>
                <c:ptCount val="12"/>
                <c:pt idx="0">
                  <c:v>表演</c:v>
                </c:pt>
                <c:pt idx="1">
                  <c:v>表演（戏剧影视表演）</c:v>
                </c:pt>
                <c:pt idx="2">
                  <c:v>表演（音乐剧）</c:v>
                </c:pt>
                <c:pt idx="3">
                  <c:v>导演（演出制作）</c:v>
                </c:pt>
                <c:pt idx="4">
                  <c:v>导演（影视编导）</c:v>
                </c:pt>
                <c:pt idx="5">
                  <c:v>戏剧学(戏剧史论与批评)</c:v>
                </c:pt>
                <c:pt idx="6">
                  <c:v>戏剧影视导演</c:v>
                </c:pt>
                <c:pt idx="7">
                  <c:v>戏剧影视美术设计(舞台灯光)</c:v>
                </c:pt>
                <c:pt idx="8">
                  <c:v>戏剧影视美术设计(舞台服装)</c:v>
                </c:pt>
                <c:pt idx="9">
                  <c:v>戏剧影视美术设计(舞台化装)</c:v>
                </c:pt>
                <c:pt idx="10">
                  <c:v>戏剧影视美术设计(舞台技术)</c:v>
                </c:pt>
                <c:pt idx="11">
                  <c:v>戏剧影视文学(电视剧创作)</c:v>
                </c:pt>
              </c:strCache>
            </c:strRef>
          </c:cat>
          <c:val>
            <c:numRef>
              <c:f>Sheet1!$B$2:$B$13</c:f>
              <c:numCache>
                <c:formatCode>0.0_);[Red]\(0.0\)</c:formatCode>
                <c:ptCount val="12"/>
                <c:pt idx="0">
                  <c:v>4.13</c:v>
                </c:pt>
                <c:pt idx="1">
                  <c:v>4.74</c:v>
                </c:pt>
                <c:pt idx="2">
                  <c:v>4.26</c:v>
                </c:pt>
                <c:pt idx="3">
                  <c:v>5</c:v>
                </c:pt>
                <c:pt idx="4">
                  <c:v>4.67</c:v>
                </c:pt>
                <c:pt idx="5">
                  <c:v>4.4</c:v>
                </c:pt>
                <c:pt idx="6">
                  <c:v>4.03</c:v>
                </c:pt>
                <c:pt idx="7">
                  <c:v>3.75</c:v>
                </c:pt>
                <c:pt idx="8">
                  <c:v>3.71</c:v>
                </c:pt>
                <c:pt idx="9">
                  <c:v>3.38</c:v>
                </c:pt>
                <c:pt idx="10">
                  <c:v>4.22</c:v>
                </c:pt>
                <c:pt idx="11">
                  <c:v>4.7</c:v>
                </c:pt>
              </c:numCache>
            </c:numRef>
          </c:val>
          <c:smooth val="0"/>
        </c:ser>
        <c:dLbls>
          <c:showLegendKey val="0"/>
          <c:showVal val="1"/>
          <c:showCatName val="0"/>
          <c:showSerName val="0"/>
          <c:showPercent val="0"/>
          <c:showBubbleSize val="0"/>
        </c:dLbls>
        <c:marker val="1"/>
        <c:smooth val="0"/>
        <c:axId val="387075456"/>
        <c:axId val="387279104"/>
      </c:lineChart>
      <c:catAx>
        <c:axId val="3870754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87279104"/>
        <c:crosses val="autoZero"/>
        <c:auto val="1"/>
        <c:lblAlgn val="ctr"/>
        <c:lblOffset val="100"/>
        <c:tickLblSkip val="1"/>
        <c:noMultiLvlLbl val="0"/>
      </c:catAx>
      <c:valAx>
        <c:axId val="3872791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_);[Red]\(0.0\)"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7075456"/>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755711335456109"/>
          <c:y val="0.0251858014240174"/>
          <c:w val="0.91606940981907"/>
          <c:h val="0.758950908914164"/>
        </c:manualLayout>
      </c:layout>
      <c:barChart>
        <c:barDir val="col"/>
        <c:grouping val="clustered"/>
        <c:varyColors val="0"/>
        <c:ser>
          <c:idx val="0"/>
          <c:order val="0"/>
          <c:tx>
            <c:strRef>
              <c:f>Sheet1!$B$1</c:f>
              <c:strCache>
                <c:ptCount val="1"/>
                <c:pt idx="0">
                  <c:v>2016届</c:v>
                </c:pt>
              </c:strCache>
            </c:strRef>
          </c:tx>
          <c:spPr>
            <a:solidFill>
              <a:schemeClr val="accent5">
                <a:lumMod val="75000"/>
                <a:alpha val="80000"/>
              </a:schemeClr>
            </a:solidFill>
            <a:ln>
              <a:noFill/>
            </a:ln>
            <a:effectLst/>
          </c:spPr>
          <c:invertIfNegative val="0"/>
          <c:dLbls>
            <c:dLbl>
              <c:idx val="0"/>
              <c:layout>
                <c:manualLayout>
                  <c:x val="-0.0155815247634948"/>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00333889816361"/>
                  <c:y val="-4.52669667840715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44852531997775"/>
                  <c:y val="-4.52669667840715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667779632721203"/>
                  <c:y val="-9.05339335681432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66777963272120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spAutoFit/>
              </a:bodyPr>
              <a:lstStyle/>
              <a:p>
                <a:pPr>
                  <a:defRPr lang="zh-CN" sz="10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Sheet1!$A$2:$A$6</c:f>
              <c:strCache>
                <c:ptCount val="5"/>
                <c:pt idx="0">
                  <c:v>很相关</c:v>
                </c:pt>
                <c:pt idx="1">
                  <c:v>相关</c:v>
                </c:pt>
                <c:pt idx="2">
                  <c:v>不好说</c:v>
                </c:pt>
                <c:pt idx="3">
                  <c:v>不相关</c:v>
                </c:pt>
                <c:pt idx="4">
                  <c:v>很不相关</c:v>
                </c:pt>
              </c:strCache>
            </c:strRef>
          </c:cat>
          <c:val>
            <c:numRef>
              <c:f>Sheet1!$B$2:$B$6</c:f>
              <c:numCache>
                <c:formatCode>###0.00%</c:formatCode>
                <c:ptCount val="5"/>
                <c:pt idx="0">
                  <c:v>0.456</c:v>
                </c:pt>
                <c:pt idx="1">
                  <c:v>0.424</c:v>
                </c:pt>
                <c:pt idx="2">
                  <c:v>0.08</c:v>
                </c:pt>
                <c:pt idx="3">
                  <c:v>0.024</c:v>
                </c:pt>
                <c:pt idx="4">
                  <c:v>0.016</c:v>
                </c:pt>
              </c:numCache>
            </c:numRef>
          </c:val>
        </c:ser>
        <c:ser>
          <c:idx val="1"/>
          <c:order val="1"/>
          <c:tx>
            <c:strRef>
              <c:f>Sheet1!$C$1</c:f>
              <c:strCache>
                <c:ptCount val="1"/>
                <c:pt idx="0">
                  <c:v>2017届</c:v>
                </c:pt>
              </c:strCache>
            </c:strRef>
          </c:tx>
          <c:invertIfNegative val="0"/>
          <c:dLbls>
            <c:dLbl>
              <c:idx val="0"/>
              <c:layout>
                <c:manualLayout>
                  <c:x val="0.0155815247634947"/>
                  <c:y val="-4.52669667840715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890372843628267"/>
                  <c:y val="0.0098765432098766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3355592654424"/>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11296605453534"/>
                  <c:y val="-9.05339335681432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11296605453534"/>
                  <c:y val="0.0049382716049382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spAutoFit/>
              </a:bodyPr>
              <a:lstStyle/>
              <a:p>
                <a:pPr>
                  <a:defRPr lang="zh-CN" sz="10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Sheet1!$A$2:$A$6</c:f>
              <c:strCache>
                <c:ptCount val="5"/>
                <c:pt idx="0">
                  <c:v>很相关</c:v>
                </c:pt>
                <c:pt idx="1">
                  <c:v>相关</c:v>
                </c:pt>
                <c:pt idx="2">
                  <c:v>不好说</c:v>
                </c:pt>
                <c:pt idx="3">
                  <c:v>不相关</c:v>
                </c:pt>
                <c:pt idx="4">
                  <c:v>很不相关</c:v>
                </c:pt>
              </c:strCache>
            </c:strRef>
          </c:cat>
          <c:val>
            <c:numRef>
              <c:f>Sheet1!$C$2:$C$6</c:f>
              <c:numCache>
                <c:formatCode>0.00%</c:formatCode>
                <c:ptCount val="5"/>
                <c:pt idx="0">
                  <c:v>0.457</c:v>
                </c:pt>
                <c:pt idx="1">
                  <c:v>0.3709</c:v>
                </c:pt>
                <c:pt idx="2">
                  <c:v>0.1325</c:v>
                </c:pt>
                <c:pt idx="3">
                  <c:v>0.0397</c:v>
                </c:pt>
                <c:pt idx="4">
                  <c:v>0</c:v>
                </c:pt>
              </c:numCache>
            </c:numRef>
          </c:val>
        </c:ser>
        <c:dLbls>
          <c:showLegendKey val="0"/>
          <c:showVal val="1"/>
          <c:showCatName val="0"/>
          <c:showSerName val="0"/>
          <c:showPercent val="0"/>
          <c:showBubbleSize val="0"/>
        </c:dLbls>
        <c:gapWidth val="158"/>
        <c:overlap val="-7"/>
        <c:axId val="387318144"/>
        <c:axId val="387450368"/>
      </c:barChart>
      <c:catAx>
        <c:axId val="38731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87450368"/>
        <c:crosses val="autoZero"/>
        <c:auto val="1"/>
        <c:lblAlgn val="ctr"/>
        <c:lblOffset val="100"/>
        <c:noMultiLvlLbl val="0"/>
      </c:catAx>
      <c:valAx>
        <c:axId val="387450368"/>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87318144"/>
        <c:crosses val="autoZero"/>
        <c:crossBetween val="between"/>
      </c:valAx>
      <c:spPr>
        <a:noFill/>
        <a:ln>
          <a:noFill/>
        </a:ln>
        <a:effectLst/>
      </c:spPr>
    </c:plotArea>
    <c:legend>
      <c:legendPos val="b"/>
      <c:layout/>
      <c:overlay val="0"/>
      <c:txPr>
        <a:bodyPr rot="0" spcFirstLastPara="0" vertOverflow="ellipsis" vert="horz" wrap="square" anchor="ctr" anchorCtr="1"/>
        <a:lstStyle/>
        <a:p>
          <a:pPr>
            <a:defRPr lang="zh-CN" sz="1000" b="0" i="0" u="none" strike="noStrike" kern="1200" baseline="0">
              <a:ln>
                <a:noFill/>
              </a:ln>
              <a:solidFill>
                <a:schemeClr val="tx1"/>
              </a:solidFill>
              <a:latin typeface="+mn-lt"/>
              <a:ea typeface="+mn-ea"/>
              <a:cs typeface="+mn-cs"/>
            </a:defRPr>
          </a:pPr>
        </a:p>
      </c:txPr>
    </c:legend>
    <c:plotVisOnly val="1"/>
    <c:dispBlanksAs val="gap"/>
    <c:showDLblsOverMax val="0"/>
  </c:chart>
  <c:spPr>
    <a:solidFill>
      <a:schemeClr val="bg1"/>
    </a:solidFill>
    <a:ln w="9525" cap="flat" cmpd="sng" algn="ctr">
      <a:noFill/>
      <a:prstDash val="solid"/>
      <a:round/>
    </a:ln>
    <a:effectLst/>
  </c:spPr>
  <c:txPr>
    <a:bodyPr/>
    <a:lstStyle/>
    <a:p>
      <a:pPr>
        <a:defRPr lang="zh-CN">
          <a:ln>
            <a:noFill/>
          </a:ln>
        </a:defRPr>
      </a:pPr>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1500255176438"/>
          <c:y val="0.128859247432781"/>
          <c:w val="0.468388560804904"/>
          <c:h val="0.745968141079139"/>
        </c:manualLayout>
      </c:layout>
      <c:doughnutChart>
        <c:varyColors val="1"/>
        <c:ser>
          <c:idx val="0"/>
          <c:order val="0"/>
          <c:tx>
            <c:strRef>
              <c:f>Sheet1!$B$1</c:f>
              <c:strCache>
                <c:ptCount val="1"/>
                <c:pt idx="0">
                  <c:v/>
                </c:pt>
              </c:strCache>
            </c:strRef>
          </c:tx>
          <c:explosion val="0"/>
          <c:dPt>
            <c:idx val="0"/>
            <c:bubble3D val="0"/>
            <c:explosion val="6"/>
            <c:spPr>
              <a:solidFill>
                <a:schemeClr val="accent1"/>
              </a:solidFill>
              <a:ln>
                <a:noFill/>
              </a:ln>
              <a:effectLst/>
            </c:spPr>
          </c:dPt>
          <c:dPt>
            <c:idx val="1"/>
            <c:bubble3D val="0"/>
            <c:spPr>
              <a:solidFill>
                <a:schemeClr val="accent3"/>
              </a:solidFill>
              <a:ln>
                <a:noFill/>
              </a:ln>
              <a:effectLst/>
            </c:spPr>
          </c:dPt>
          <c:dPt>
            <c:idx val="2"/>
            <c:bubble3D val="0"/>
            <c:spPr>
              <a:solidFill>
                <a:schemeClr val="accent5"/>
              </a:solidFill>
              <a:ln>
                <a:noFill/>
              </a:ln>
              <a:effectLst/>
            </c:spPr>
          </c:dPt>
          <c:dLbls>
            <c:dLbl>
              <c:idx val="0"/>
              <c:layout>
                <c:manualLayout>
                  <c:x val="0.0939080183000243"/>
                  <c:y val="-0.0104684637529443"/>
                </c:manualLayout>
              </c:layout>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0577895497230918"/>
                  <c:y val="0.0628107825176655"/>
                </c:manualLayout>
              </c:layout>
              <c:showLegendKey val="0"/>
              <c:showVal val="1"/>
              <c:showCatName val="1"/>
              <c:showSerName val="0"/>
              <c:showPercent val="1"/>
              <c:showBubbleSize val="0"/>
              <c:extLst>
                <c:ext xmlns:c15="http://schemas.microsoft.com/office/drawing/2012/chart" uri="{CE6537A1-D6FC-4f65-9D91-7224C49458BB}">
                  <c15:layout/>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ext>
            </c:extLst>
          </c:dLbls>
          <c:cat>
            <c:strRef>
              <c:f>Sheet1!$A$2:$A$4</c:f>
              <c:strCache>
                <c:ptCount val="3"/>
                <c:pt idx="0">
                  <c:v>低于岗位要求</c:v>
                </c:pt>
                <c:pt idx="1">
                  <c:v>恰好满足岗位要求</c:v>
                </c:pt>
                <c:pt idx="2">
                  <c:v>高于岗位要求</c:v>
                </c:pt>
              </c:strCache>
            </c:strRef>
          </c:cat>
          <c:val>
            <c:numRef>
              <c:f>Sheet1!$B$2:$B$4</c:f>
              <c:numCache>
                <c:formatCode>###0"人"</c:formatCode>
                <c:ptCount val="3"/>
                <c:pt idx="0">
                  <c:v>5</c:v>
                </c:pt>
                <c:pt idx="1">
                  <c:v>103</c:v>
                </c:pt>
                <c:pt idx="2">
                  <c:v>43</c:v>
                </c:pt>
              </c:numCache>
            </c:numRef>
          </c:val>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百分比</c:v>
                </c:pt>
              </c:strCache>
            </c:strRef>
          </c:tx>
          <c:spPr>
            <a:solidFill>
              <a:schemeClr val="accent5">
                <a:alpha val="85000"/>
              </a:scheme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中央戏剧学院</c:v>
                </c:pt>
                <c:pt idx="1">
                  <c:v>中国戏曲学院</c:v>
                </c:pt>
                <c:pt idx="2">
                  <c:v>北京电影学院</c:v>
                </c:pt>
                <c:pt idx="3">
                  <c:v>中国艺术研究院</c:v>
                </c:pt>
                <c:pt idx="4">
                  <c:v>上海戏剧学院</c:v>
                </c:pt>
              </c:strCache>
            </c:strRef>
          </c:cat>
          <c:val>
            <c:numRef>
              <c:f>Sheet1!$B$2:$B$6</c:f>
              <c:numCache>
                <c:formatCode>0.00%</c:formatCode>
                <c:ptCount val="5"/>
                <c:pt idx="0">
                  <c:v>0.8205</c:v>
                </c:pt>
                <c:pt idx="1">
                  <c:v>0.0769</c:v>
                </c:pt>
                <c:pt idx="2">
                  <c:v>0.0513</c:v>
                </c:pt>
                <c:pt idx="3">
                  <c:v>0.0256</c:v>
                </c:pt>
                <c:pt idx="4">
                  <c:v>0.0256</c:v>
                </c:pt>
              </c:numCache>
            </c:numRef>
          </c:val>
        </c:ser>
        <c:dLbls>
          <c:showLegendKey val="0"/>
          <c:showVal val="1"/>
          <c:showCatName val="0"/>
          <c:showSerName val="0"/>
          <c:showPercent val="0"/>
          <c:showBubbleSize val="0"/>
        </c:dLbls>
        <c:gapWidth val="65"/>
        <c:axId val="317745024"/>
        <c:axId val="317747968"/>
      </c:barChart>
      <c:catAx>
        <c:axId val="317745024"/>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17747968"/>
        <c:crosses val="autoZero"/>
        <c:auto val="1"/>
        <c:lblAlgn val="ctr"/>
        <c:lblOffset val="100"/>
        <c:noMultiLvlLbl val="0"/>
      </c:catAx>
      <c:valAx>
        <c:axId val="317747968"/>
        <c:scaling>
          <c:orientation val="minMax"/>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crossAx val="317745024"/>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755711335456109"/>
          <c:y val="0.0251858014240174"/>
          <c:w val="0.91606940981907"/>
          <c:h val="0.862654721961763"/>
        </c:manualLayout>
      </c:layout>
      <c:barChart>
        <c:barDir val="col"/>
        <c:grouping val="clustered"/>
        <c:varyColors val="0"/>
        <c:ser>
          <c:idx val="0"/>
          <c:order val="0"/>
          <c:tx>
            <c:strRef>
              <c:f>Sheet1!$B$1</c:f>
              <c:strCache>
                <c:ptCount val="1"/>
                <c:pt idx="0">
                  <c:v/>
                </c:pt>
              </c:strCache>
            </c:strRef>
          </c:tx>
          <c:spPr>
            <a:solidFill>
              <a:schemeClr val="accent5">
                <a:alpha val="80000"/>
              </a:schemeClr>
            </a:solidFill>
            <a:ln>
              <a:noFill/>
            </a:ln>
            <a:effectLst/>
          </c:spPr>
          <c:invertIfNegative val="0"/>
          <c:dPt>
            <c:idx val="0"/>
            <c:invertIfNegative val="0"/>
            <c:bubble3D val="0"/>
            <c:spPr>
              <a:solidFill>
                <a:srgbClr val="358DA5">
                  <a:alpha val="80000"/>
                </a:srgbClr>
              </a:solidFill>
              <a:ln>
                <a:noFill/>
              </a:ln>
              <a:effectLst/>
            </c:spPr>
          </c:dPt>
          <c:dPt>
            <c:idx val="1"/>
            <c:invertIfNegative val="0"/>
            <c:bubble3D val="0"/>
            <c:spPr>
              <a:solidFill>
                <a:srgbClr val="358DA5">
                  <a:alpha val="80000"/>
                </a:srgbClr>
              </a:solidFill>
              <a:ln>
                <a:noFill/>
              </a:ln>
              <a:effectLst/>
            </c:spPr>
          </c:dPt>
          <c:dPt>
            <c:idx val="3"/>
            <c:invertIfNegative val="0"/>
            <c:bubble3D val="0"/>
            <c:spPr>
              <a:solidFill>
                <a:schemeClr val="accent5">
                  <a:lumMod val="60000"/>
                  <a:lumOff val="40000"/>
                  <a:alpha val="80000"/>
                </a:schemeClr>
              </a:solidFill>
              <a:ln>
                <a:noFill/>
              </a:ln>
              <a:effectLst/>
            </c:spPr>
          </c:dPt>
          <c:dPt>
            <c:idx val="4"/>
            <c:invertIfNegative val="0"/>
            <c:bubble3D val="0"/>
            <c:spPr>
              <a:solidFill>
                <a:schemeClr val="accent5">
                  <a:lumMod val="60000"/>
                  <a:lumOff val="40000"/>
                  <a:alpha val="80000"/>
                </a:schemeClr>
              </a:solidFill>
              <a:ln>
                <a:noFill/>
              </a:ln>
              <a:effectLst/>
            </c:spPr>
          </c:dPt>
          <c:dLbls>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0"/>
                <c15:leaderLines/>
              </c:ext>
            </c:extLst>
          </c:dLbls>
          <c:cat>
            <c:strRef>
              <c:f>Sheet1!$A$2:$A$6</c:f>
              <c:strCache>
                <c:ptCount val="5"/>
                <c:pt idx="0">
                  <c:v>很相符</c:v>
                </c:pt>
                <c:pt idx="1">
                  <c:v>相符</c:v>
                </c:pt>
                <c:pt idx="2">
                  <c:v>不好说</c:v>
                </c:pt>
                <c:pt idx="3">
                  <c:v>不相符</c:v>
                </c:pt>
                <c:pt idx="4">
                  <c:v>很不相符</c:v>
                </c:pt>
              </c:strCache>
            </c:strRef>
          </c:cat>
          <c:val>
            <c:numRef>
              <c:f>Sheet1!$B$2:$B$6</c:f>
              <c:numCache>
                <c:formatCode>0.0%</c:formatCode>
                <c:ptCount val="5"/>
                <c:pt idx="0">
                  <c:v>0.2185</c:v>
                </c:pt>
                <c:pt idx="1">
                  <c:v>0.404</c:v>
                </c:pt>
                <c:pt idx="2">
                  <c:v>0.2781</c:v>
                </c:pt>
                <c:pt idx="3">
                  <c:v>0.0795000000000001</c:v>
                </c:pt>
                <c:pt idx="4">
                  <c:v>0.0199000000000001</c:v>
                </c:pt>
              </c:numCache>
            </c:numRef>
          </c:val>
          <c:extLst>
            <c:ext xmlns:c15="http://schemas.microsoft.com/office/drawing/2012/chart" uri="{02D57815-91ED-43cb-92C2-25804820EDAC}">
              <c15:datalabelsRange>
                <c15:f>Sheet1!$C$2:$C$6</c15:f>
                <c15:dlblRangeCache>
                  <c:ptCount val="5"/>
                </c15:dlblRangeCache>
              </c15:datalabelsRange>
            </c:ext>
          </c:extLst>
        </c:ser>
        <c:dLbls>
          <c:showLegendKey val="0"/>
          <c:showVal val="0"/>
          <c:showCatName val="0"/>
          <c:showSerName val="0"/>
          <c:showPercent val="0"/>
          <c:showBubbleSize val="0"/>
        </c:dLbls>
        <c:gapWidth val="182"/>
        <c:axId val="388099072"/>
        <c:axId val="388100864"/>
      </c:barChart>
      <c:catAx>
        <c:axId val="38809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88100864"/>
        <c:crosses val="autoZero"/>
        <c:auto val="1"/>
        <c:lblAlgn val="ctr"/>
        <c:lblOffset val="100"/>
        <c:noMultiLvlLbl val="0"/>
      </c:catAx>
      <c:valAx>
        <c:axId val="388100864"/>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88099072"/>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ln>
            <a:noFill/>
          </a:ln>
        </a:defRPr>
      </a:pPr>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755711335456109"/>
          <c:y val="0.0251858014240174"/>
          <c:w val="0.91606940981907"/>
          <c:h val="0.732565591463229"/>
        </c:manualLayout>
      </c:layout>
      <c:barChart>
        <c:barDir val="col"/>
        <c:grouping val="clustered"/>
        <c:varyColors val="0"/>
        <c:ser>
          <c:idx val="0"/>
          <c:order val="0"/>
          <c:tx>
            <c:strRef>
              <c:f>Sheet1!$B$1</c:f>
              <c:strCache>
                <c:ptCount val="1"/>
                <c:pt idx="0">
                  <c:v>2016届</c:v>
                </c:pt>
              </c:strCache>
            </c:strRef>
          </c:tx>
          <c:spPr>
            <a:solidFill>
              <a:schemeClr val="accent5">
                <a:lumMod val="75000"/>
                <a:alpha val="80000"/>
              </a:schemeClr>
            </a:solidFill>
            <a:ln>
              <a:noFill/>
            </a:ln>
            <a:effectLst/>
          </c:spPr>
          <c:invertIfNegative val="0"/>
          <c:dLbls>
            <c:dLbl>
              <c:idx val="1"/>
              <c:layout>
                <c:manualLayout>
                  <c:x val="-0.0070052539404554"/>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ln>
                      <a:noFill/>
                    </a:ln>
                    <a:solidFill>
                      <a:schemeClr val="tx1">
                        <a:lumMod val="65000"/>
                        <a:lumOff val="3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Sheet1!$A$2:$A$6</c:f>
              <c:strCache>
                <c:ptCount val="5"/>
                <c:pt idx="0">
                  <c:v>很相符</c:v>
                </c:pt>
                <c:pt idx="1">
                  <c:v>相符</c:v>
                </c:pt>
                <c:pt idx="2">
                  <c:v>不好说</c:v>
                </c:pt>
                <c:pt idx="3">
                  <c:v>不相符</c:v>
                </c:pt>
                <c:pt idx="4">
                  <c:v>很不相符</c:v>
                </c:pt>
              </c:strCache>
            </c:strRef>
          </c:cat>
          <c:val>
            <c:numRef>
              <c:f>Sheet1!$B$2:$B$6</c:f>
              <c:numCache>
                <c:formatCode>###0.00%</c:formatCode>
                <c:ptCount val="5"/>
                <c:pt idx="0">
                  <c:v>0.248062015503876</c:v>
                </c:pt>
                <c:pt idx="1">
                  <c:v>0.48062015503876</c:v>
                </c:pt>
                <c:pt idx="2">
                  <c:v>0.217054263565892</c:v>
                </c:pt>
                <c:pt idx="3">
                  <c:v>0.0465116279069768</c:v>
                </c:pt>
                <c:pt idx="4">
                  <c:v>0.00775193798449614</c:v>
                </c:pt>
              </c:numCache>
            </c:numRef>
          </c:val>
        </c:ser>
        <c:ser>
          <c:idx val="1"/>
          <c:order val="1"/>
          <c:tx>
            <c:strRef>
              <c:f>Sheet1!$C$1</c:f>
              <c:strCache>
                <c:ptCount val="1"/>
                <c:pt idx="0">
                  <c:v>2017届</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ln>
                      <a:noFill/>
                    </a:ln>
                    <a:solidFill>
                      <a:schemeClr val="tx1">
                        <a:lumMod val="65000"/>
                        <a:lumOff val="3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Sheet1!$A$2:$A$6</c:f>
              <c:strCache>
                <c:ptCount val="5"/>
                <c:pt idx="0">
                  <c:v>很相符</c:v>
                </c:pt>
                <c:pt idx="1">
                  <c:v>相符</c:v>
                </c:pt>
                <c:pt idx="2">
                  <c:v>不好说</c:v>
                </c:pt>
                <c:pt idx="3">
                  <c:v>不相符</c:v>
                </c:pt>
                <c:pt idx="4">
                  <c:v>很不相符</c:v>
                </c:pt>
              </c:strCache>
            </c:strRef>
          </c:cat>
          <c:val>
            <c:numRef>
              <c:f>Sheet1!$C$2:$C$6</c:f>
              <c:numCache>
                <c:formatCode>0.00%</c:formatCode>
                <c:ptCount val="5"/>
                <c:pt idx="0">
                  <c:v>0.2185</c:v>
                </c:pt>
                <c:pt idx="1">
                  <c:v>0.404</c:v>
                </c:pt>
                <c:pt idx="2">
                  <c:v>0.2781</c:v>
                </c:pt>
                <c:pt idx="3">
                  <c:v>0.0795000000000001</c:v>
                </c:pt>
                <c:pt idx="4">
                  <c:v>0.0199</c:v>
                </c:pt>
              </c:numCache>
            </c:numRef>
          </c:val>
        </c:ser>
        <c:dLbls>
          <c:showLegendKey val="0"/>
          <c:showVal val="1"/>
          <c:showCatName val="0"/>
          <c:showSerName val="0"/>
          <c:showPercent val="0"/>
          <c:showBubbleSize val="0"/>
        </c:dLbls>
        <c:gapWidth val="113"/>
        <c:overlap val="-7"/>
        <c:axId val="387381888"/>
        <c:axId val="387404160"/>
      </c:barChart>
      <c:catAx>
        <c:axId val="38738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1000" b="0" i="0" u="none" strike="noStrike" kern="1200" baseline="0">
                <a:ln>
                  <a:noFill/>
                </a:ln>
                <a:solidFill>
                  <a:schemeClr val="tx1">
                    <a:lumMod val="65000"/>
                    <a:lumOff val="35000"/>
                  </a:schemeClr>
                </a:solidFill>
                <a:latin typeface="+mn-lt"/>
                <a:ea typeface="+mn-ea"/>
                <a:cs typeface="+mn-cs"/>
              </a:defRPr>
            </a:pPr>
          </a:p>
        </c:txPr>
        <c:crossAx val="387404160"/>
        <c:crosses val="autoZero"/>
        <c:auto val="1"/>
        <c:lblAlgn val="ctr"/>
        <c:lblOffset val="100"/>
        <c:noMultiLvlLbl val="0"/>
      </c:catAx>
      <c:valAx>
        <c:axId val="387404160"/>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1000" b="0" i="0" u="none" strike="noStrike" kern="1200" baseline="0">
                <a:ln>
                  <a:noFill/>
                </a:ln>
                <a:solidFill>
                  <a:schemeClr val="tx1">
                    <a:lumMod val="65000"/>
                    <a:lumOff val="35000"/>
                  </a:schemeClr>
                </a:solidFill>
                <a:latin typeface="+mn-lt"/>
                <a:ea typeface="+mn-ea"/>
                <a:cs typeface="+mn-cs"/>
              </a:defRPr>
            </a:pPr>
          </a:p>
        </c:txPr>
        <c:crossAx val="387381888"/>
        <c:crosses val="autoZero"/>
        <c:crossBetween val="between"/>
      </c:valAx>
      <c:spPr>
        <a:noFill/>
        <a:ln>
          <a:noFill/>
        </a:ln>
        <a:effectLst/>
      </c:spPr>
    </c:plotArea>
    <c:legend>
      <c:legendPos val="b"/>
      <c:layout/>
      <c:overlay val="0"/>
      <c:txPr>
        <a:bodyPr rot="0" spcFirstLastPara="0" vertOverflow="ellipsis" vert="horz" wrap="square" anchor="ctr" anchorCtr="1"/>
        <a:lstStyle/>
        <a:p>
          <a:pPr>
            <a:defRPr lang="zh-CN" sz="1000" b="0" i="0" u="none" strike="noStrike" kern="1200" baseline="0">
              <a:ln>
                <a:noFill/>
              </a:ln>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prstDash val="solid"/>
      <a:round/>
    </a:ln>
    <a:effectLst/>
  </c:spPr>
  <c:txPr>
    <a:bodyPr/>
    <a:lstStyle/>
    <a:p>
      <a:pPr>
        <a:defRPr lang="zh-CN">
          <a:ln>
            <a:noFill/>
          </a:ln>
          <a:solidFill>
            <a:schemeClr val="tx1">
              <a:lumMod val="65000"/>
              <a:lumOff val="35000"/>
            </a:schemeClr>
          </a:solidFill>
        </a:defRPr>
      </a:pPr>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755711335456109"/>
          <c:y val="0.0251858014240174"/>
          <c:w val="0.91606940981907"/>
          <c:h val="0.862654721961763"/>
        </c:manualLayout>
      </c:layout>
      <c:barChart>
        <c:barDir val="col"/>
        <c:grouping val="clustered"/>
        <c:varyColors val="0"/>
        <c:ser>
          <c:idx val="0"/>
          <c:order val="0"/>
          <c:tx>
            <c:strRef>
              <c:f>Sheet1!$B$1</c:f>
              <c:strCache>
                <c:ptCount val="1"/>
                <c:pt idx="0">
                  <c:v/>
                </c:pt>
              </c:strCache>
            </c:strRef>
          </c:tx>
          <c:spPr>
            <a:solidFill>
              <a:schemeClr val="accent5">
                <a:alpha val="80000"/>
              </a:schemeClr>
            </a:solidFill>
            <a:ln>
              <a:noFill/>
            </a:ln>
            <a:effectLst/>
          </c:spPr>
          <c:invertIfNegative val="0"/>
          <c:dPt>
            <c:idx val="0"/>
            <c:invertIfNegative val="0"/>
            <c:bubble3D val="0"/>
            <c:spPr>
              <a:solidFill>
                <a:srgbClr val="358DA5">
                  <a:alpha val="80000"/>
                </a:srgbClr>
              </a:solidFill>
              <a:ln>
                <a:noFill/>
              </a:ln>
              <a:effectLst/>
            </c:spPr>
          </c:dPt>
          <c:dPt>
            <c:idx val="1"/>
            <c:invertIfNegative val="0"/>
            <c:bubble3D val="0"/>
            <c:spPr>
              <a:solidFill>
                <a:srgbClr val="358DA5">
                  <a:alpha val="80000"/>
                </a:srgbClr>
              </a:solidFill>
              <a:ln>
                <a:noFill/>
              </a:ln>
              <a:effectLst/>
            </c:spPr>
          </c:dPt>
          <c:dPt>
            <c:idx val="3"/>
            <c:invertIfNegative val="0"/>
            <c:bubble3D val="0"/>
            <c:spPr>
              <a:solidFill>
                <a:schemeClr val="accent5">
                  <a:lumMod val="60000"/>
                  <a:lumOff val="40000"/>
                  <a:alpha val="80000"/>
                </a:schemeClr>
              </a:solidFill>
              <a:ln>
                <a:noFill/>
              </a:ln>
              <a:effectLst/>
            </c:spPr>
          </c:dPt>
          <c:dPt>
            <c:idx val="4"/>
            <c:invertIfNegative val="0"/>
            <c:bubble3D val="0"/>
            <c:spPr>
              <a:solidFill>
                <a:schemeClr val="accent5">
                  <a:lumMod val="60000"/>
                  <a:lumOff val="40000"/>
                  <a:alpha val="80000"/>
                </a:schemeClr>
              </a:solidFill>
              <a:ln>
                <a:noFill/>
              </a:ln>
              <a:effectLst/>
            </c:spPr>
          </c:dPt>
          <c:dLbls>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0"/>
                <c15:leaderLines/>
              </c:ext>
            </c:extLst>
          </c:dLbls>
          <c:cat>
            <c:strRef>
              <c:f>Sheet1!$A$2:$A$6</c:f>
              <c:strCache>
                <c:ptCount val="5"/>
                <c:pt idx="0">
                  <c:v>很积极</c:v>
                </c:pt>
                <c:pt idx="1">
                  <c:v>积极</c:v>
                </c:pt>
                <c:pt idx="2">
                  <c:v>不好说</c:v>
                </c:pt>
                <c:pt idx="3">
                  <c:v>不积极</c:v>
                </c:pt>
                <c:pt idx="4">
                  <c:v>很不积极</c:v>
                </c:pt>
              </c:strCache>
            </c:strRef>
          </c:cat>
          <c:val>
            <c:numRef>
              <c:f>Sheet1!$B$2:$B$6</c:f>
              <c:numCache>
                <c:formatCode>0.0%</c:formatCode>
                <c:ptCount val="5"/>
                <c:pt idx="0">
                  <c:v>0.4371</c:v>
                </c:pt>
                <c:pt idx="1">
                  <c:v>0.3642</c:v>
                </c:pt>
                <c:pt idx="2">
                  <c:v>0.1788</c:v>
                </c:pt>
                <c:pt idx="3">
                  <c:v>0.0132</c:v>
                </c:pt>
                <c:pt idx="4">
                  <c:v>0.0066</c:v>
                </c:pt>
              </c:numCache>
            </c:numRef>
          </c:val>
          <c:extLst>
            <c:ext xmlns:c15="http://schemas.microsoft.com/office/drawing/2012/chart" uri="{02D57815-91ED-43cb-92C2-25804820EDAC}">
              <c15:datalabelsRange>
                <c15:f>Sheet1!$C$2:$C$6</c15:f>
                <c15:dlblRangeCache>
                  <c:ptCount val="5"/>
                </c15:dlblRangeCache>
              </c15:datalabelsRange>
            </c:ext>
          </c:extLst>
        </c:ser>
        <c:dLbls>
          <c:showLegendKey val="0"/>
          <c:showVal val="0"/>
          <c:showCatName val="0"/>
          <c:showSerName val="0"/>
          <c:showPercent val="0"/>
          <c:showBubbleSize val="0"/>
        </c:dLbls>
        <c:gapWidth val="182"/>
        <c:axId val="387883008"/>
        <c:axId val="387884544"/>
      </c:barChart>
      <c:catAx>
        <c:axId val="38788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87884544"/>
        <c:crosses val="autoZero"/>
        <c:auto val="1"/>
        <c:lblAlgn val="ctr"/>
        <c:lblOffset val="100"/>
        <c:noMultiLvlLbl val="0"/>
      </c:catAx>
      <c:valAx>
        <c:axId val="387884544"/>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87883008"/>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ln>
            <a:noFill/>
          </a:ln>
        </a:defRPr>
      </a:pPr>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
                </c:pt>
              </c:strCache>
            </c:strRef>
          </c:tx>
          <c:spPr>
            <a:solidFill>
              <a:schemeClr val="accent5">
                <a:alpha val="85000"/>
              </a:scheme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Sheet1!$A$2:$A$12</c:f>
              <c:strCache>
                <c:ptCount val="11"/>
                <c:pt idx="0">
                  <c:v>校友资源</c:v>
                </c:pt>
                <c:pt idx="1">
                  <c:v>社会渠道</c:v>
                </c:pt>
                <c:pt idx="2">
                  <c:v>学校组织的招聘会</c:v>
                </c:pt>
                <c:pt idx="3">
                  <c:v>学校发布的招聘信息</c:v>
                </c:pt>
                <c:pt idx="4">
                  <c:v>亲友渠道</c:v>
                </c:pt>
                <c:pt idx="5">
                  <c:v>老师推荐</c:v>
                </c:pt>
                <c:pt idx="6">
                  <c:v>用人单位自设渠道</c:v>
                </c:pt>
                <c:pt idx="7">
                  <c:v>院系发布的招聘信息</c:v>
                </c:pt>
                <c:pt idx="8">
                  <c:v>其他校园渠道</c:v>
                </c:pt>
                <c:pt idx="9">
                  <c:v>其他渠道</c:v>
                </c:pt>
                <c:pt idx="10">
                  <c:v>政府渠道</c:v>
                </c:pt>
              </c:strCache>
            </c:strRef>
          </c:cat>
          <c:val>
            <c:numRef>
              <c:f>Sheet1!$B$2:$B$12</c:f>
              <c:numCache>
                <c:formatCode>0.00%</c:formatCode>
                <c:ptCount val="11"/>
                <c:pt idx="0">
                  <c:v>0.3907</c:v>
                </c:pt>
                <c:pt idx="1">
                  <c:v>0.370900000000001</c:v>
                </c:pt>
                <c:pt idx="2">
                  <c:v>0.331100000000001</c:v>
                </c:pt>
                <c:pt idx="3">
                  <c:v>0.311300000000001</c:v>
                </c:pt>
                <c:pt idx="4">
                  <c:v>0.284800000000001</c:v>
                </c:pt>
                <c:pt idx="5">
                  <c:v>0.2583</c:v>
                </c:pt>
                <c:pt idx="6">
                  <c:v>0.211900000000001</c:v>
                </c:pt>
                <c:pt idx="7">
                  <c:v>0.1126</c:v>
                </c:pt>
                <c:pt idx="8">
                  <c:v>0.053</c:v>
                </c:pt>
                <c:pt idx="9">
                  <c:v>0.0397</c:v>
                </c:pt>
                <c:pt idx="10">
                  <c:v>0.0132</c:v>
                </c:pt>
              </c:numCache>
            </c:numRef>
          </c:val>
        </c:ser>
        <c:dLbls>
          <c:showLegendKey val="0"/>
          <c:showVal val="1"/>
          <c:showCatName val="0"/>
          <c:showSerName val="0"/>
          <c:showPercent val="0"/>
          <c:showBubbleSize val="0"/>
        </c:dLbls>
        <c:gapWidth val="65"/>
        <c:axId val="387850624"/>
        <c:axId val="387853312"/>
      </c:barChart>
      <c:catAx>
        <c:axId val="387850624"/>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87853312"/>
        <c:crosses val="autoZero"/>
        <c:auto val="1"/>
        <c:lblAlgn val="ctr"/>
        <c:lblOffset val="100"/>
        <c:noMultiLvlLbl val="0"/>
      </c:catAx>
      <c:valAx>
        <c:axId val="387853312"/>
        <c:scaling>
          <c:orientation val="minMax"/>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crossAx val="387850624"/>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08855185048178"/>
          <c:y val="0.0264005905511812"/>
          <c:w val="0.909114481495183"/>
          <c:h val="0.915026274347286"/>
        </c:manualLayout>
      </c:layout>
      <c:barChart>
        <c:barDir val="bar"/>
        <c:grouping val="clustered"/>
        <c:varyColors val="0"/>
        <c:ser>
          <c:idx val="0"/>
          <c:order val="0"/>
          <c:tx>
            <c:strRef>
              <c:f>Sheet1!$B$1</c:f>
              <c:strCache>
                <c:ptCount val="1"/>
                <c:pt idx="0">
                  <c:v/>
                </c:pt>
              </c:strCache>
            </c:strRef>
          </c:tx>
          <c:spPr>
            <a:solidFill>
              <a:schemeClr val="accent5">
                <a:alpha val="85000"/>
              </a:schemeClr>
            </a:solidFill>
            <a:ln w="9525" cap="flat" cmpd="sng" algn="ctr">
              <a:solidFill>
                <a:schemeClr val="lt1">
                  <a:alpha val="50000"/>
                </a:schemeClr>
              </a:solidFill>
              <a:round/>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Sheet1!$A$2:$A$17</c:f>
              <c:strCache>
                <c:ptCount val="16"/>
                <c:pt idx="0">
                  <c:v>施展个人的能力和特长</c:v>
                </c:pt>
                <c:pt idx="1">
                  <c:v>磨练个人能力</c:v>
                </c:pt>
                <c:pt idx="2">
                  <c:v>发挥自己的创造性</c:v>
                </c:pt>
                <c:pt idx="3">
                  <c:v>实现个人的抱负和目标</c:v>
                </c:pt>
                <c:pt idx="4">
                  <c:v>带给人激情</c:v>
                </c:pt>
                <c:pt idx="5">
                  <c:v>有高于一般水平的年薪</c:v>
                </c:pt>
                <c:pt idx="6">
                  <c:v>为社会发展创造价值</c:v>
                </c:pt>
                <c:pt idx="7">
                  <c:v>和家庭生活不相冲突</c:v>
                </c:pt>
                <c:pt idx="8">
                  <c:v>享受高地位的个人空间</c:v>
                </c:pt>
                <c:pt idx="9">
                  <c:v>容易晋升到高地位</c:v>
                </c:pt>
                <c:pt idx="10">
                  <c:v>感到受重视</c:v>
                </c:pt>
                <c:pt idx="11">
                  <c:v>提高我国该行业的世界竞争力</c:v>
                </c:pt>
                <c:pt idx="12">
                  <c:v>方便照顾父母</c:v>
                </c:pt>
                <c:pt idx="13">
                  <c:v>改变目前令人担忧的社会现状</c:v>
                </c:pt>
                <c:pt idx="14">
                  <c:v>和未来配偶在一起</c:v>
                </c:pt>
                <c:pt idx="15">
                  <c:v>周围人羡慕我</c:v>
                </c:pt>
              </c:strCache>
            </c:strRef>
          </c:cat>
          <c:val>
            <c:numRef>
              <c:f>Sheet1!$B$2:$B$17</c:f>
              <c:numCache>
                <c:formatCode>General</c:formatCode>
                <c:ptCount val="16"/>
                <c:pt idx="0">
                  <c:v>4.67</c:v>
                </c:pt>
                <c:pt idx="1">
                  <c:v>4.62</c:v>
                </c:pt>
                <c:pt idx="2">
                  <c:v>4.54</c:v>
                </c:pt>
                <c:pt idx="3">
                  <c:v>4.5</c:v>
                </c:pt>
                <c:pt idx="4">
                  <c:v>4.43</c:v>
                </c:pt>
                <c:pt idx="5">
                  <c:v>4.38</c:v>
                </c:pt>
                <c:pt idx="6">
                  <c:v>4.25</c:v>
                </c:pt>
                <c:pt idx="7">
                  <c:v>4.12</c:v>
                </c:pt>
                <c:pt idx="8">
                  <c:v>4.09</c:v>
                </c:pt>
                <c:pt idx="9">
                  <c:v>4.08</c:v>
                </c:pt>
                <c:pt idx="10">
                  <c:v>4.07</c:v>
                </c:pt>
                <c:pt idx="11">
                  <c:v>3.87</c:v>
                </c:pt>
                <c:pt idx="12">
                  <c:v>3.84</c:v>
                </c:pt>
                <c:pt idx="13">
                  <c:v>3.8</c:v>
                </c:pt>
                <c:pt idx="14">
                  <c:v>3.6</c:v>
                </c:pt>
                <c:pt idx="15">
                  <c:v>3.23</c:v>
                </c:pt>
              </c:numCache>
            </c:numRef>
          </c:val>
        </c:ser>
        <c:dLbls>
          <c:showLegendKey val="0"/>
          <c:showVal val="1"/>
          <c:showCatName val="0"/>
          <c:showSerName val="0"/>
          <c:showPercent val="0"/>
          <c:showBubbleSize val="0"/>
        </c:dLbls>
        <c:gapWidth val="65"/>
        <c:axId val="388212608"/>
        <c:axId val="388215552"/>
      </c:barChart>
      <c:catAx>
        <c:axId val="388212608"/>
        <c:scaling>
          <c:orientation val="maxMin"/>
        </c:scaling>
        <c:delete val="0"/>
        <c:axPos val="l"/>
        <c:numFmt formatCode="General" sourceLinked="0"/>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88215552"/>
        <c:crosses val="autoZero"/>
        <c:auto val="1"/>
        <c:lblAlgn val="ctr"/>
        <c:lblOffset val="100"/>
        <c:noMultiLvlLbl val="0"/>
      </c:catAx>
      <c:valAx>
        <c:axId val="388215552"/>
        <c:scaling>
          <c:orientation val="minMax"/>
          <c:max val="5"/>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_);[Red]\(#,##0.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crossAx val="388212608"/>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1500255176438"/>
          <c:y val="0.128859247432781"/>
          <c:w val="0.436856959525672"/>
          <c:h val="0.843552777420266"/>
        </c:manualLayout>
      </c:layout>
      <c:pieChart>
        <c:varyColors val="1"/>
        <c:ser>
          <c:idx val="0"/>
          <c:order val="0"/>
          <c:tx>
            <c:strRef>
              <c:f>Sheet1!$B$1</c:f>
              <c:strCache>
                <c:ptCount val="1"/>
                <c:pt idx="0">
                  <c:v/>
                </c:pt>
              </c:strCache>
            </c:strRef>
          </c:tx>
          <c:explosion val="0"/>
          <c:dPt>
            <c:idx val="0"/>
            <c:bubble3D val="0"/>
            <c:explosion val="6"/>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0564274948891025"/>
                  <c:y val="-0.166160081053698"/>
                </c:manualLayout>
              </c:layout>
              <c:numFmt formatCode="0.00%" sourceLinked="0"/>
              <c:spPr>
                <a:no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0247221213583299"/>
                  <c:y val="0.00221302124468485"/>
                </c:manualLayout>
              </c:layout>
              <c:numFmt formatCode="0.00%" sourceLinked="0"/>
              <c:spPr>
                <a:no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117551544212375"/>
                  <c:y val="0.0149502588772148"/>
                </c:manualLayout>
              </c:layout>
              <c:numFmt formatCode="0.00%" sourceLinked="0"/>
              <c:spPr>
                <a:no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numFmt formatCode="0.00%" sourceLinked="0"/>
            <c:spPr>
              <a:no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p>
            </c:txPr>
            <c:dLblPos val="bestFit"/>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ext>
            </c:extLst>
          </c:dLbls>
          <c:cat>
            <c:strRef>
              <c:f>Sheet1!$A$2:$A$4</c:f>
              <c:strCache>
                <c:ptCount val="3"/>
                <c:pt idx="0">
                  <c:v>自主选择</c:v>
                </c:pt>
                <c:pt idx="1">
                  <c:v>父母意见</c:v>
                </c:pt>
                <c:pt idx="2">
                  <c:v>他人推荐（除父母外）</c:v>
                </c:pt>
              </c:strCache>
            </c:strRef>
          </c:cat>
          <c:val>
            <c:numRef>
              <c:f>Sheet1!$B$2:$B$4</c:f>
              <c:numCache>
                <c:formatCode>###0"人"</c:formatCode>
                <c:ptCount val="3"/>
                <c:pt idx="0">
                  <c:v>86</c:v>
                </c:pt>
                <c:pt idx="1">
                  <c:v>1</c:v>
                </c:pt>
                <c:pt idx="2">
                  <c:v>3</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755711335456109"/>
          <c:y val="0.0251858014240174"/>
          <c:w val="0.91606940981907"/>
          <c:h val="0.862654721961763"/>
        </c:manualLayout>
      </c:layout>
      <c:barChart>
        <c:barDir val="col"/>
        <c:grouping val="clustered"/>
        <c:varyColors val="0"/>
        <c:ser>
          <c:idx val="0"/>
          <c:order val="0"/>
          <c:tx>
            <c:strRef>
              <c:f>Sheet1!$B$1</c:f>
              <c:strCache>
                <c:ptCount val="1"/>
                <c:pt idx="0">
                  <c:v/>
                </c:pt>
              </c:strCache>
            </c:strRef>
          </c:tx>
          <c:spPr>
            <a:solidFill>
              <a:schemeClr val="accent5">
                <a:alpha val="80000"/>
              </a:schemeClr>
            </a:solidFill>
            <a:ln>
              <a:noFill/>
            </a:ln>
            <a:effectLst/>
          </c:spPr>
          <c:invertIfNegative val="0"/>
          <c:dPt>
            <c:idx val="0"/>
            <c:invertIfNegative val="0"/>
            <c:bubble3D val="0"/>
            <c:spPr>
              <a:solidFill>
                <a:srgbClr val="358DA5">
                  <a:alpha val="80000"/>
                </a:srgbClr>
              </a:solidFill>
              <a:ln>
                <a:noFill/>
              </a:ln>
              <a:effectLst/>
            </c:spPr>
          </c:dPt>
          <c:dPt>
            <c:idx val="1"/>
            <c:invertIfNegative val="0"/>
            <c:bubble3D val="0"/>
            <c:spPr>
              <a:solidFill>
                <a:srgbClr val="358DA5">
                  <a:alpha val="80000"/>
                </a:srgbClr>
              </a:solidFill>
              <a:ln>
                <a:noFill/>
              </a:ln>
              <a:effectLst/>
            </c:spPr>
          </c:dPt>
          <c:dPt>
            <c:idx val="3"/>
            <c:invertIfNegative val="0"/>
            <c:bubble3D val="0"/>
            <c:spPr>
              <a:solidFill>
                <a:schemeClr val="accent5">
                  <a:lumMod val="60000"/>
                  <a:lumOff val="40000"/>
                  <a:alpha val="80000"/>
                </a:schemeClr>
              </a:solidFill>
              <a:ln>
                <a:noFill/>
              </a:ln>
              <a:effectLst/>
            </c:spPr>
          </c:dPt>
          <c:dLbls>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0"/>
                <c15:leaderLines/>
              </c:ext>
            </c:extLst>
          </c:dLbls>
          <c:cat>
            <c:strRef>
              <c:f>Sheet1!$A$2:$A$5</c:f>
              <c:strCache>
                <c:ptCount val="4"/>
                <c:pt idx="0">
                  <c:v>很喜欢</c:v>
                </c:pt>
                <c:pt idx="1">
                  <c:v>喜欢</c:v>
                </c:pt>
                <c:pt idx="2">
                  <c:v>不好说</c:v>
                </c:pt>
                <c:pt idx="3">
                  <c:v>不喜欢</c:v>
                </c:pt>
              </c:strCache>
            </c:strRef>
          </c:cat>
          <c:val>
            <c:numRef>
              <c:f>Sheet1!$B$2:$B$5</c:f>
              <c:numCache>
                <c:formatCode>0.0%</c:formatCode>
                <c:ptCount val="4"/>
                <c:pt idx="0">
                  <c:v>0.755600000000003</c:v>
                </c:pt>
                <c:pt idx="1">
                  <c:v>0.1444</c:v>
                </c:pt>
                <c:pt idx="2">
                  <c:v>0.0889</c:v>
                </c:pt>
                <c:pt idx="3">
                  <c:v>0.0111</c:v>
                </c:pt>
              </c:numCache>
            </c:numRef>
          </c:val>
          <c:extLst>
            <c:ext xmlns:c15="http://schemas.microsoft.com/office/drawing/2012/chart" uri="{02D57815-91ED-43cb-92C2-25804820EDAC}">
              <c15:datalabelsRange>
                <c15:f>Sheet1!$C$2:$C$6</c15:f>
                <c15:dlblRangeCache>
                  <c:ptCount val="5"/>
                </c15:dlblRangeCache>
              </c15:datalabelsRange>
            </c:ext>
          </c:extLst>
        </c:ser>
        <c:dLbls>
          <c:showLegendKey val="0"/>
          <c:showVal val="0"/>
          <c:showCatName val="0"/>
          <c:showSerName val="0"/>
          <c:showPercent val="0"/>
          <c:showBubbleSize val="0"/>
        </c:dLbls>
        <c:gapWidth val="182"/>
        <c:axId val="388328064"/>
        <c:axId val="388342144"/>
      </c:barChart>
      <c:catAx>
        <c:axId val="38832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88342144"/>
        <c:crosses val="autoZero"/>
        <c:auto val="1"/>
        <c:lblAlgn val="ctr"/>
        <c:lblOffset val="100"/>
        <c:noMultiLvlLbl val="0"/>
      </c:catAx>
      <c:valAx>
        <c:axId val="388342144"/>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88328064"/>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ln>
            <a:noFill/>
          </a:ln>
        </a:defRPr>
      </a:pPr>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10734463276838"/>
          <c:y val="0.0547263681592041"/>
          <c:w val="0.953528328824055"/>
          <c:h val="0.608090748313116"/>
        </c:manualLayout>
      </c:layout>
      <c:lineChart>
        <c:grouping val="standard"/>
        <c:varyColors val="0"/>
        <c:ser>
          <c:idx val="0"/>
          <c:order val="0"/>
          <c:tx>
            <c:strRef>
              <c:f>Sheet1!$B$1</c:f>
              <c:strCache>
                <c:ptCount val="1"/>
                <c:pt idx="0">
                  <c:v/>
                </c:pt>
              </c:strCache>
            </c:strRef>
          </c:tx>
          <c:spPr>
            <a:ln w="31750" cap="rnd" cmpd="sng" algn="ctr">
              <a:solidFill>
                <a:schemeClr val="accent5"/>
              </a:solidFill>
              <a:prstDash val="solid"/>
              <a:round/>
            </a:ln>
            <a:effectLst/>
          </c:spPr>
          <c:marker>
            <c:symbol val="circle"/>
            <c:size val="17"/>
            <c:spPr>
              <a:solidFill>
                <a:schemeClr val="accent5"/>
              </a:solidFill>
              <a:ln w="9525" cap="flat" cmpd="sng" algn="ctr">
                <a:noFill/>
                <a:prstDash val="solid"/>
                <a:round/>
              </a:ln>
              <a:effectLst/>
            </c:spPr>
          </c:marker>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Sheet1!$A$2:$A$4</c:f>
              <c:strCache>
                <c:ptCount val="3"/>
                <c:pt idx="0">
                  <c:v>戏剧</c:v>
                </c:pt>
                <c:pt idx="1">
                  <c:v>戏剧与影视学</c:v>
                </c:pt>
                <c:pt idx="2">
                  <c:v>艺术学理论</c:v>
                </c:pt>
              </c:strCache>
            </c:strRef>
          </c:cat>
          <c:val>
            <c:numRef>
              <c:f>Sheet1!$B$2:$B$4</c:f>
              <c:numCache>
                <c:formatCode>0.0_);[Red]\(0.0\)</c:formatCode>
                <c:ptCount val="3"/>
                <c:pt idx="0">
                  <c:v>4.69</c:v>
                </c:pt>
                <c:pt idx="1">
                  <c:v>4.54</c:v>
                </c:pt>
                <c:pt idx="2">
                  <c:v>4.7</c:v>
                </c:pt>
              </c:numCache>
            </c:numRef>
          </c:val>
          <c:smooth val="0"/>
        </c:ser>
        <c:dLbls>
          <c:showLegendKey val="0"/>
          <c:showVal val="1"/>
          <c:showCatName val="0"/>
          <c:showSerName val="0"/>
          <c:showPercent val="0"/>
          <c:showBubbleSize val="0"/>
        </c:dLbls>
        <c:marker val="1"/>
        <c:smooth val="0"/>
        <c:axId val="387931136"/>
        <c:axId val="388323200"/>
      </c:lineChart>
      <c:catAx>
        <c:axId val="3879311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88323200"/>
        <c:crosses val="autoZero"/>
        <c:auto val="1"/>
        <c:lblAlgn val="ctr"/>
        <c:lblOffset val="100"/>
        <c:tickLblSkip val="1"/>
        <c:noMultiLvlLbl val="0"/>
      </c:catAx>
      <c:valAx>
        <c:axId val="3883232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_);[Red]\(0.0\)"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7931136"/>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10734463276838"/>
          <c:y val="0.0547263681592041"/>
          <c:w val="0.953528328824055"/>
          <c:h val="0.608090748313116"/>
        </c:manualLayout>
      </c:layout>
      <c:lineChart>
        <c:grouping val="standard"/>
        <c:varyColors val="0"/>
        <c:ser>
          <c:idx val="0"/>
          <c:order val="0"/>
          <c:tx>
            <c:strRef>
              <c:f>Sheet1!$B$1</c:f>
              <c:strCache>
                <c:ptCount val="1"/>
                <c:pt idx="0">
                  <c:v/>
                </c:pt>
              </c:strCache>
            </c:strRef>
          </c:tx>
          <c:spPr>
            <a:ln w="31750" cap="rnd" cmpd="sng" algn="ctr">
              <a:solidFill>
                <a:schemeClr val="accent5"/>
              </a:solidFill>
              <a:prstDash val="solid"/>
              <a:round/>
            </a:ln>
            <a:effectLst/>
          </c:spPr>
          <c:marker>
            <c:symbol val="circle"/>
            <c:size val="17"/>
            <c:spPr>
              <a:solidFill>
                <a:schemeClr val="accent5"/>
              </a:solidFill>
              <a:ln w="9525" cap="flat" cmpd="sng" algn="ctr">
                <a:noFill/>
                <a:prstDash val="solid"/>
                <a:round/>
              </a:ln>
              <a:effectLst/>
            </c:spPr>
          </c:marker>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Sheet1!$A$2:$A$3</c:f>
              <c:strCache>
                <c:ptCount val="2"/>
                <c:pt idx="0">
                  <c:v>戏剧与影视学</c:v>
                </c:pt>
                <c:pt idx="1">
                  <c:v>艺术学理论</c:v>
                </c:pt>
              </c:strCache>
            </c:strRef>
          </c:cat>
          <c:val>
            <c:numRef>
              <c:f>Sheet1!$B$2:$B$3</c:f>
              <c:numCache>
                <c:formatCode>0.00_);[Red]\(0.00\)</c:formatCode>
                <c:ptCount val="2"/>
                <c:pt idx="0">
                  <c:v>4.77</c:v>
                </c:pt>
                <c:pt idx="1">
                  <c:v>4.67</c:v>
                </c:pt>
              </c:numCache>
            </c:numRef>
          </c:val>
          <c:smooth val="0"/>
        </c:ser>
        <c:dLbls>
          <c:showLegendKey val="0"/>
          <c:showVal val="1"/>
          <c:showCatName val="0"/>
          <c:showSerName val="0"/>
          <c:showPercent val="0"/>
          <c:showBubbleSize val="0"/>
        </c:dLbls>
        <c:marker val="1"/>
        <c:smooth val="0"/>
        <c:axId val="389645056"/>
        <c:axId val="389647744"/>
      </c:lineChart>
      <c:catAx>
        <c:axId val="3896450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89647744"/>
        <c:crosses val="autoZero"/>
        <c:auto val="1"/>
        <c:lblAlgn val="ctr"/>
        <c:lblOffset val="100"/>
        <c:tickLblSkip val="1"/>
        <c:noMultiLvlLbl val="0"/>
      </c:catAx>
      <c:valAx>
        <c:axId val="3896477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0_);[Red]\(0.00\)"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9645056"/>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755711335456109"/>
          <c:y val="0.0251858014240174"/>
          <c:w val="0.91606940981907"/>
          <c:h val="0.862654721961763"/>
        </c:manualLayout>
      </c:layout>
      <c:barChart>
        <c:barDir val="col"/>
        <c:grouping val="clustered"/>
        <c:varyColors val="0"/>
        <c:ser>
          <c:idx val="0"/>
          <c:order val="0"/>
          <c:tx>
            <c:strRef>
              <c:f>Sheet1!$B$1</c:f>
              <c:strCache>
                <c:ptCount val="1"/>
                <c:pt idx="0">
                  <c:v/>
                </c:pt>
              </c:strCache>
            </c:strRef>
          </c:tx>
          <c:spPr>
            <a:solidFill>
              <a:schemeClr val="accent5">
                <a:alpha val="80000"/>
              </a:schemeClr>
            </a:solidFill>
            <a:ln>
              <a:noFill/>
            </a:ln>
            <a:effectLst/>
          </c:spPr>
          <c:invertIfNegative val="0"/>
          <c:dPt>
            <c:idx val="0"/>
            <c:invertIfNegative val="0"/>
            <c:bubble3D val="0"/>
            <c:spPr>
              <a:solidFill>
                <a:srgbClr val="358DA5">
                  <a:alpha val="80000"/>
                </a:srgbClr>
              </a:solidFill>
              <a:ln>
                <a:noFill/>
              </a:ln>
              <a:effectLst/>
            </c:spPr>
          </c:dPt>
          <c:dPt>
            <c:idx val="1"/>
            <c:invertIfNegative val="0"/>
            <c:bubble3D val="0"/>
            <c:spPr>
              <a:solidFill>
                <a:srgbClr val="358DA5">
                  <a:alpha val="80000"/>
                </a:srgbClr>
              </a:solidFill>
              <a:ln>
                <a:noFill/>
              </a:ln>
              <a:effectLst/>
            </c:spPr>
          </c:dPt>
          <c:dLbls>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0"/>
                <c15:leaderLines/>
              </c:ext>
            </c:extLst>
          </c:dLbls>
          <c:cat>
            <c:strRef>
              <c:f>Sheet1!$A$2:$A$4</c:f>
              <c:strCache>
                <c:ptCount val="3"/>
                <c:pt idx="0">
                  <c:v>很愿意</c:v>
                </c:pt>
                <c:pt idx="1">
                  <c:v>愿意</c:v>
                </c:pt>
                <c:pt idx="2">
                  <c:v>不好说</c:v>
                </c:pt>
              </c:strCache>
            </c:strRef>
          </c:cat>
          <c:val>
            <c:numRef>
              <c:f>Sheet1!$B$2:$B$4</c:f>
              <c:numCache>
                <c:formatCode>0.0%</c:formatCode>
                <c:ptCount val="3"/>
                <c:pt idx="0">
                  <c:v>0.7111</c:v>
                </c:pt>
                <c:pt idx="1">
                  <c:v>0.2111</c:v>
                </c:pt>
                <c:pt idx="2">
                  <c:v>0.0778000000000001</c:v>
                </c:pt>
              </c:numCache>
            </c:numRef>
          </c:val>
          <c:extLst>
            <c:ext xmlns:c15="http://schemas.microsoft.com/office/drawing/2012/chart" uri="{02D57815-91ED-43cb-92C2-25804820EDAC}">
              <c15:datalabelsRange>
                <c15:f>Sheet1!$C$2:$C$6</c15:f>
                <c15:dlblRangeCache>
                  <c:ptCount val="5"/>
                </c15:dlblRangeCache>
              </c15:datalabelsRange>
            </c:ext>
          </c:extLst>
        </c:ser>
        <c:dLbls>
          <c:showLegendKey val="0"/>
          <c:showVal val="0"/>
          <c:showCatName val="0"/>
          <c:showSerName val="0"/>
          <c:showPercent val="0"/>
          <c:showBubbleSize val="0"/>
        </c:dLbls>
        <c:gapWidth val="182"/>
        <c:axId val="389674112"/>
        <c:axId val="389675648"/>
      </c:barChart>
      <c:catAx>
        <c:axId val="38967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89675648"/>
        <c:crosses val="autoZero"/>
        <c:auto val="1"/>
        <c:lblAlgn val="ctr"/>
        <c:lblOffset val="100"/>
        <c:noMultiLvlLbl val="0"/>
      </c:catAx>
      <c:valAx>
        <c:axId val="389675648"/>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89674112"/>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ln>
            <a:noFill/>
          </a:ln>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百分比</c:v>
                </c:pt>
              </c:strCache>
            </c:strRef>
          </c:tx>
          <c:spPr>
            <a:solidFill>
              <a:schemeClr val="accent5">
                <a:alpha val="85000"/>
              </a:scheme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Sheet1!$A$2:$A$4</c:f>
              <c:strCache>
                <c:ptCount val="3"/>
                <c:pt idx="0">
                  <c:v>英国</c:v>
                </c:pt>
                <c:pt idx="1">
                  <c:v>香港</c:v>
                </c:pt>
                <c:pt idx="2">
                  <c:v>美国</c:v>
                </c:pt>
              </c:strCache>
            </c:strRef>
          </c:cat>
          <c:val>
            <c:numRef>
              <c:f>Sheet1!$B$2:$B$4</c:f>
              <c:numCache>
                <c:formatCode>0.00%</c:formatCode>
                <c:ptCount val="3"/>
                <c:pt idx="0">
                  <c:v>0.6</c:v>
                </c:pt>
                <c:pt idx="1">
                  <c:v>0.3</c:v>
                </c:pt>
                <c:pt idx="2">
                  <c:v>0.1</c:v>
                </c:pt>
              </c:numCache>
            </c:numRef>
          </c:val>
        </c:ser>
        <c:dLbls>
          <c:showLegendKey val="0"/>
          <c:showVal val="1"/>
          <c:showCatName val="0"/>
          <c:showSerName val="0"/>
          <c:showPercent val="0"/>
          <c:showBubbleSize val="0"/>
        </c:dLbls>
        <c:gapWidth val="65"/>
        <c:axId val="317758848"/>
        <c:axId val="326650112"/>
      </c:barChart>
      <c:catAx>
        <c:axId val="317758848"/>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26650112"/>
        <c:crosses val="autoZero"/>
        <c:auto val="1"/>
        <c:lblAlgn val="ctr"/>
        <c:lblOffset val="100"/>
        <c:noMultiLvlLbl val="0"/>
      </c:catAx>
      <c:valAx>
        <c:axId val="326650112"/>
        <c:scaling>
          <c:orientation val="minMax"/>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crossAx val="317758848"/>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10734463276838"/>
          <c:y val="0.0547263681592041"/>
          <c:w val="0.953528328824055"/>
          <c:h val="0.608090748313116"/>
        </c:manualLayout>
      </c:layout>
      <c:lineChart>
        <c:grouping val="standard"/>
        <c:varyColors val="0"/>
        <c:ser>
          <c:idx val="0"/>
          <c:order val="0"/>
          <c:tx>
            <c:strRef>
              <c:f>Sheet1!$B$1</c:f>
              <c:strCache>
                <c:ptCount val="1"/>
                <c:pt idx="0">
                  <c:v/>
                </c:pt>
              </c:strCache>
            </c:strRef>
          </c:tx>
          <c:spPr>
            <a:ln w="31750" cap="rnd" cmpd="sng" algn="ctr">
              <a:solidFill>
                <a:schemeClr val="accent5"/>
              </a:solidFill>
              <a:prstDash val="solid"/>
              <a:round/>
            </a:ln>
            <a:effectLst/>
          </c:spPr>
          <c:marker>
            <c:symbol val="circle"/>
            <c:size val="17"/>
            <c:spPr>
              <a:solidFill>
                <a:schemeClr val="accent5"/>
              </a:solidFill>
              <a:ln w="9525" cap="flat" cmpd="sng" algn="ctr">
                <a:noFill/>
                <a:prstDash val="solid"/>
                <a:round/>
              </a:ln>
              <a:effectLst/>
            </c:spPr>
          </c:marker>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Sheet1!$A$2:$A$4</c:f>
              <c:strCache>
                <c:ptCount val="3"/>
                <c:pt idx="0">
                  <c:v>戏剧</c:v>
                </c:pt>
                <c:pt idx="1">
                  <c:v>戏剧与影视学</c:v>
                </c:pt>
                <c:pt idx="2">
                  <c:v>艺术学理论</c:v>
                </c:pt>
              </c:strCache>
            </c:strRef>
          </c:cat>
          <c:val>
            <c:numRef>
              <c:f>Sheet1!$B$2:$B$4</c:f>
              <c:numCache>
                <c:formatCode>0.0_);[Red]\(0.0\)</c:formatCode>
                <c:ptCount val="3"/>
                <c:pt idx="0">
                  <c:v>4.58</c:v>
                </c:pt>
                <c:pt idx="1">
                  <c:v>4.57</c:v>
                </c:pt>
                <c:pt idx="2">
                  <c:v>4.7</c:v>
                </c:pt>
              </c:numCache>
            </c:numRef>
          </c:val>
          <c:smooth val="0"/>
        </c:ser>
        <c:dLbls>
          <c:showLegendKey val="0"/>
          <c:showVal val="1"/>
          <c:showCatName val="0"/>
          <c:showSerName val="0"/>
          <c:showPercent val="0"/>
          <c:showBubbleSize val="0"/>
        </c:dLbls>
        <c:marker val="1"/>
        <c:smooth val="0"/>
        <c:axId val="389856640"/>
        <c:axId val="389854720"/>
      </c:lineChart>
      <c:catAx>
        <c:axId val="3898566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89854720"/>
        <c:crosses val="autoZero"/>
        <c:auto val="1"/>
        <c:lblAlgn val="ctr"/>
        <c:lblOffset val="100"/>
        <c:tickLblSkip val="1"/>
        <c:noMultiLvlLbl val="0"/>
      </c:catAx>
      <c:valAx>
        <c:axId val="3898547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_);[Red]\(0.0\)"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9856640"/>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10734463276838"/>
          <c:y val="0.0547263681592041"/>
          <c:w val="0.953528328824055"/>
          <c:h val="0.608090748313116"/>
        </c:manualLayout>
      </c:layout>
      <c:lineChart>
        <c:grouping val="standard"/>
        <c:varyColors val="0"/>
        <c:ser>
          <c:idx val="0"/>
          <c:order val="0"/>
          <c:tx>
            <c:strRef>
              <c:f>Sheet1!$B$1</c:f>
              <c:strCache>
                <c:ptCount val="1"/>
                <c:pt idx="0">
                  <c:v/>
                </c:pt>
              </c:strCache>
            </c:strRef>
          </c:tx>
          <c:spPr>
            <a:ln w="31750" cap="rnd" cmpd="sng" algn="ctr">
              <a:solidFill>
                <a:schemeClr val="accent5"/>
              </a:solidFill>
              <a:prstDash val="solid"/>
              <a:round/>
            </a:ln>
            <a:effectLst/>
          </c:spPr>
          <c:marker>
            <c:symbol val="circle"/>
            <c:size val="17"/>
            <c:spPr>
              <a:solidFill>
                <a:schemeClr val="accent5"/>
              </a:solidFill>
              <a:ln w="9525" cap="flat" cmpd="sng" algn="ctr">
                <a:noFill/>
                <a:prstDash val="solid"/>
                <a:round/>
              </a:ln>
              <a:effectLst/>
            </c:spPr>
          </c:marker>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Sheet1!$A$2:$A$3</c:f>
              <c:strCache>
                <c:ptCount val="2"/>
                <c:pt idx="0">
                  <c:v>戏剧与影视学</c:v>
                </c:pt>
                <c:pt idx="1">
                  <c:v>艺术学理论</c:v>
                </c:pt>
              </c:strCache>
            </c:strRef>
          </c:cat>
          <c:val>
            <c:numRef>
              <c:f>Sheet1!$B$2:$B$3</c:f>
              <c:numCache>
                <c:formatCode>0.0_);[Red]\(0.0\)</c:formatCode>
                <c:ptCount val="2"/>
                <c:pt idx="0">
                  <c:v>4.77</c:v>
                </c:pt>
                <c:pt idx="1">
                  <c:v>4.83</c:v>
                </c:pt>
              </c:numCache>
            </c:numRef>
          </c:val>
          <c:smooth val="0"/>
        </c:ser>
        <c:dLbls>
          <c:showLegendKey val="0"/>
          <c:showVal val="1"/>
          <c:showCatName val="0"/>
          <c:showSerName val="0"/>
          <c:showPercent val="0"/>
          <c:showBubbleSize val="0"/>
        </c:dLbls>
        <c:marker val="1"/>
        <c:smooth val="0"/>
        <c:axId val="388358912"/>
        <c:axId val="388360448"/>
      </c:lineChart>
      <c:catAx>
        <c:axId val="388358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88360448"/>
        <c:crosses val="autoZero"/>
        <c:auto val="1"/>
        <c:lblAlgn val="ctr"/>
        <c:lblOffset val="100"/>
        <c:tickLblSkip val="1"/>
        <c:noMultiLvlLbl val="0"/>
      </c:catAx>
      <c:valAx>
        <c:axId val="3883604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_);[Red]\(0.0\)"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8358912"/>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755711335456109"/>
          <c:y val="0.0251858014240174"/>
          <c:w val="0.91606940981907"/>
          <c:h val="0.862654721961763"/>
        </c:manualLayout>
      </c:layout>
      <c:barChart>
        <c:barDir val="col"/>
        <c:grouping val="clustered"/>
        <c:varyColors val="0"/>
        <c:ser>
          <c:idx val="0"/>
          <c:order val="0"/>
          <c:tx>
            <c:strRef>
              <c:f>Sheet1!$B$1</c:f>
              <c:strCache>
                <c:ptCount val="1"/>
                <c:pt idx="0">
                  <c:v/>
                </c:pt>
              </c:strCache>
            </c:strRef>
          </c:tx>
          <c:spPr>
            <a:solidFill>
              <a:schemeClr val="accent5">
                <a:alpha val="80000"/>
              </a:schemeClr>
            </a:solidFill>
            <a:ln>
              <a:noFill/>
            </a:ln>
            <a:effectLst/>
          </c:spPr>
          <c:invertIfNegative val="0"/>
          <c:dPt>
            <c:idx val="0"/>
            <c:invertIfNegative val="0"/>
            <c:bubble3D val="0"/>
            <c:spPr>
              <a:solidFill>
                <a:srgbClr val="358DA5">
                  <a:alpha val="80000"/>
                </a:srgbClr>
              </a:solidFill>
              <a:ln>
                <a:noFill/>
              </a:ln>
              <a:effectLst/>
            </c:spPr>
          </c:dPt>
          <c:dPt>
            <c:idx val="1"/>
            <c:invertIfNegative val="0"/>
            <c:bubble3D val="0"/>
            <c:spPr>
              <a:solidFill>
                <a:srgbClr val="358DA5">
                  <a:alpha val="80000"/>
                </a:srgbClr>
              </a:solidFill>
              <a:ln>
                <a:noFill/>
              </a:ln>
              <a:effectLst/>
            </c:spPr>
          </c:dPt>
          <c:dPt>
            <c:idx val="3"/>
            <c:invertIfNegative val="0"/>
            <c:bubble3D val="0"/>
            <c:spPr>
              <a:solidFill>
                <a:schemeClr val="accent5">
                  <a:lumMod val="60000"/>
                  <a:lumOff val="40000"/>
                  <a:alpha val="80000"/>
                </a:schemeClr>
              </a:solidFill>
              <a:ln>
                <a:noFill/>
              </a:ln>
              <a:effectLst/>
            </c:spPr>
          </c:dPt>
          <c:dLbls>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0"/>
                <c15:leaderLines/>
              </c:ext>
            </c:extLst>
          </c:dLbls>
          <c:cat>
            <c:strRef>
              <c:f>Sheet1!$A$2:$A$5</c:f>
              <c:strCache>
                <c:ptCount val="4"/>
                <c:pt idx="0">
                  <c:v>很满意</c:v>
                </c:pt>
                <c:pt idx="1">
                  <c:v>满意</c:v>
                </c:pt>
                <c:pt idx="2">
                  <c:v>不好说</c:v>
                </c:pt>
                <c:pt idx="3">
                  <c:v>不满意</c:v>
                </c:pt>
              </c:strCache>
            </c:strRef>
          </c:cat>
          <c:val>
            <c:numRef>
              <c:f>Sheet1!$B$2:$B$5</c:f>
              <c:numCache>
                <c:formatCode>0.0%</c:formatCode>
                <c:ptCount val="4"/>
                <c:pt idx="0">
                  <c:v>0.433300000000001</c:v>
                </c:pt>
                <c:pt idx="1">
                  <c:v>0.4222</c:v>
                </c:pt>
                <c:pt idx="2">
                  <c:v>0.1</c:v>
                </c:pt>
                <c:pt idx="3">
                  <c:v>0.0444000000000001</c:v>
                </c:pt>
              </c:numCache>
            </c:numRef>
          </c:val>
          <c:extLst>
            <c:ext xmlns:c15="http://schemas.microsoft.com/office/drawing/2012/chart" uri="{02D57815-91ED-43cb-92C2-25804820EDAC}">
              <c15:datalabelsRange>
                <c15:f>Sheet1!$C$2:$C$6</c15:f>
                <c15:dlblRangeCache>
                  <c:ptCount val="5"/>
                </c15:dlblRangeCache>
              </c15:datalabelsRange>
            </c:ext>
          </c:extLst>
        </c:ser>
        <c:dLbls>
          <c:showLegendKey val="0"/>
          <c:showVal val="0"/>
          <c:showCatName val="0"/>
          <c:showSerName val="0"/>
          <c:showPercent val="0"/>
          <c:showBubbleSize val="0"/>
        </c:dLbls>
        <c:gapWidth val="182"/>
        <c:axId val="389878144"/>
        <c:axId val="389879680"/>
      </c:barChart>
      <c:catAx>
        <c:axId val="38987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89879680"/>
        <c:crosses val="autoZero"/>
        <c:auto val="1"/>
        <c:lblAlgn val="ctr"/>
        <c:lblOffset val="100"/>
        <c:noMultiLvlLbl val="0"/>
      </c:catAx>
      <c:valAx>
        <c:axId val="389879680"/>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89878144"/>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ln>
            <a:noFill/>
          </a:ln>
        </a:defRPr>
      </a:pPr>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10734463276838"/>
          <c:y val="0.0547263681592041"/>
          <c:w val="0.953528328824055"/>
          <c:h val="0.608090748313116"/>
        </c:manualLayout>
      </c:layout>
      <c:lineChart>
        <c:grouping val="standard"/>
        <c:varyColors val="0"/>
        <c:ser>
          <c:idx val="0"/>
          <c:order val="0"/>
          <c:tx>
            <c:strRef>
              <c:f>Sheet1!$B$1</c:f>
              <c:strCache>
                <c:ptCount val="1"/>
                <c:pt idx="0">
                  <c:v/>
                </c:pt>
              </c:strCache>
            </c:strRef>
          </c:tx>
          <c:spPr>
            <a:ln w="31750" cap="rnd" cmpd="sng" algn="ctr">
              <a:solidFill>
                <a:schemeClr val="accent5"/>
              </a:solidFill>
              <a:prstDash val="solid"/>
              <a:round/>
            </a:ln>
            <a:effectLst/>
          </c:spPr>
          <c:marker>
            <c:symbol val="circle"/>
            <c:size val="17"/>
            <c:spPr>
              <a:solidFill>
                <a:schemeClr val="accent5"/>
              </a:solidFill>
              <a:ln w="9525" cap="flat" cmpd="sng" algn="ctr">
                <a:noFill/>
                <a:prstDash val="solid"/>
                <a:round/>
              </a:ln>
              <a:effectLst/>
            </c:spPr>
          </c:marker>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Sheet1!$A$2:$A$4</c:f>
              <c:strCache>
                <c:ptCount val="3"/>
                <c:pt idx="0">
                  <c:v>戏剧</c:v>
                </c:pt>
                <c:pt idx="1">
                  <c:v>戏剧与影视学</c:v>
                </c:pt>
                <c:pt idx="2">
                  <c:v>艺术学理论</c:v>
                </c:pt>
              </c:strCache>
            </c:strRef>
          </c:cat>
          <c:val>
            <c:numRef>
              <c:f>Sheet1!$B$2:$B$4</c:f>
              <c:numCache>
                <c:formatCode>0.0_);[Red]\(0.0\)</c:formatCode>
                <c:ptCount val="3"/>
                <c:pt idx="0">
                  <c:v>3.96</c:v>
                </c:pt>
                <c:pt idx="1">
                  <c:v>4.37</c:v>
                </c:pt>
                <c:pt idx="2">
                  <c:v>4.3</c:v>
                </c:pt>
              </c:numCache>
            </c:numRef>
          </c:val>
          <c:smooth val="0"/>
        </c:ser>
        <c:dLbls>
          <c:showLegendKey val="0"/>
          <c:showVal val="1"/>
          <c:showCatName val="0"/>
          <c:showSerName val="0"/>
          <c:showPercent val="0"/>
          <c:showBubbleSize val="0"/>
        </c:dLbls>
        <c:marker val="1"/>
        <c:smooth val="0"/>
        <c:axId val="389890816"/>
        <c:axId val="389893504"/>
      </c:lineChart>
      <c:catAx>
        <c:axId val="3898908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89893504"/>
        <c:crosses val="autoZero"/>
        <c:auto val="1"/>
        <c:lblAlgn val="ctr"/>
        <c:lblOffset val="100"/>
        <c:tickLblSkip val="1"/>
        <c:noMultiLvlLbl val="0"/>
      </c:catAx>
      <c:valAx>
        <c:axId val="3898935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_);[Red]\(0.0\)"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9890816"/>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10734463276838"/>
          <c:y val="0.0547263681592041"/>
          <c:w val="0.953528328824055"/>
          <c:h val="0.608090748313116"/>
        </c:manualLayout>
      </c:layout>
      <c:lineChart>
        <c:grouping val="standard"/>
        <c:varyColors val="0"/>
        <c:ser>
          <c:idx val="0"/>
          <c:order val="0"/>
          <c:tx>
            <c:strRef>
              <c:f>Sheet1!$B$1</c:f>
              <c:strCache>
                <c:ptCount val="1"/>
                <c:pt idx="0">
                  <c:v/>
                </c:pt>
              </c:strCache>
            </c:strRef>
          </c:tx>
          <c:spPr>
            <a:ln w="31750" cap="rnd" cmpd="sng" algn="ctr">
              <a:solidFill>
                <a:schemeClr val="accent5"/>
              </a:solidFill>
              <a:prstDash val="solid"/>
              <a:round/>
            </a:ln>
            <a:effectLst/>
          </c:spPr>
          <c:marker>
            <c:symbol val="circle"/>
            <c:size val="17"/>
            <c:spPr>
              <a:solidFill>
                <a:schemeClr val="accent5"/>
              </a:solidFill>
              <a:ln w="9525" cap="flat" cmpd="sng" algn="ctr">
                <a:noFill/>
                <a:prstDash val="solid"/>
                <a:round/>
              </a:ln>
              <a:effectLst/>
            </c:spPr>
          </c:marker>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Sheet1!$A$2:$A$3</c:f>
              <c:strCache>
                <c:ptCount val="2"/>
                <c:pt idx="0">
                  <c:v>戏剧与影视学</c:v>
                </c:pt>
                <c:pt idx="1">
                  <c:v>艺术学理论</c:v>
                </c:pt>
              </c:strCache>
            </c:strRef>
          </c:cat>
          <c:val>
            <c:numRef>
              <c:f>Sheet1!$B$2:$B$3</c:f>
              <c:numCache>
                <c:formatCode>0.0_);[Red]\(0.0\)</c:formatCode>
                <c:ptCount val="2"/>
                <c:pt idx="0">
                  <c:v>4.38</c:v>
                </c:pt>
                <c:pt idx="1">
                  <c:v>4.33</c:v>
                </c:pt>
              </c:numCache>
            </c:numRef>
          </c:val>
          <c:smooth val="0"/>
        </c:ser>
        <c:dLbls>
          <c:showLegendKey val="0"/>
          <c:showVal val="1"/>
          <c:showCatName val="0"/>
          <c:showSerName val="0"/>
          <c:showPercent val="0"/>
          <c:showBubbleSize val="0"/>
        </c:dLbls>
        <c:marker val="1"/>
        <c:smooth val="0"/>
        <c:axId val="385095936"/>
        <c:axId val="385143936"/>
      </c:lineChart>
      <c:catAx>
        <c:axId val="3850959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85143936"/>
        <c:crosses val="autoZero"/>
        <c:auto val="1"/>
        <c:lblAlgn val="ctr"/>
        <c:lblOffset val="100"/>
        <c:tickLblSkip val="1"/>
        <c:noMultiLvlLbl val="0"/>
      </c:catAx>
      <c:valAx>
        <c:axId val="3851439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_);[Red]\(0.0\)"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5095936"/>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755711335456109"/>
          <c:y val="0.0251858014240174"/>
          <c:w val="0.91606940981907"/>
          <c:h val="0.862654721961763"/>
        </c:manualLayout>
      </c:layout>
      <c:barChart>
        <c:barDir val="col"/>
        <c:grouping val="clustered"/>
        <c:varyColors val="0"/>
        <c:ser>
          <c:idx val="0"/>
          <c:order val="0"/>
          <c:tx>
            <c:strRef>
              <c:f>Sheet1!$B$1</c:f>
              <c:strCache>
                <c:ptCount val="1"/>
                <c:pt idx="0">
                  <c:v/>
                </c:pt>
              </c:strCache>
            </c:strRef>
          </c:tx>
          <c:spPr>
            <a:solidFill>
              <a:schemeClr val="accent5">
                <a:alpha val="80000"/>
              </a:schemeClr>
            </a:solidFill>
            <a:ln>
              <a:noFill/>
            </a:ln>
            <a:effectLst/>
          </c:spPr>
          <c:invertIfNegative val="0"/>
          <c:dPt>
            <c:idx val="0"/>
            <c:invertIfNegative val="0"/>
            <c:bubble3D val="0"/>
            <c:spPr>
              <a:solidFill>
                <a:srgbClr val="358DA5">
                  <a:alpha val="80000"/>
                </a:srgbClr>
              </a:solidFill>
              <a:ln>
                <a:noFill/>
              </a:ln>
              <a:effectLst/>
            </c:spPr>
          </c:dPt>
          <c:dPt>
            <c:idx val="1"/>
            <c:invertIfNegative val="0"/>
            <c:bubble3D val="0"/>
            <c:spPr>
              <a:solidFill>
                <a:srgbClr val="358DA5">
                  <a:alpha val="80000"/>
                </a:srgbClr>
              </a:solidFill>
              <a:ln>
                <a:noFill/>
              </a:ln>
              <a:effectLst/>
            </c:spPr>
          </c:dPt>
          <c:dPt>
            <c:idx val="3"/>
            <c:invertIfNegative val="0"/>
            <c:bubble3D val="0"/>
            <c:spPr>
              <a:solidFill>
                <a:schemeClr val="accent5">
                  <a:lumMod val="60000"/>
                  <a:lumOff val="40000"/>
                  <a:alpha val="80000"/>
                </a:schemeClr>
              </a:solidFill>
              <a:ln>
                <a:noFill/>
              </a:ln>
              <a:effectLst/>
            </c:spPr>
          </c:dPt>
          <c:dLbls>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0"/>
                <c15:leaderLines/>
              </c:ext>
            </c:extLst>
          </c:dLbls>
          <c:cat>
            <c:strRef>
              <c:f>Sheet1!$A$2:$A$5</c:f>
              <c:strCache>
                <c:ptCount val="4"/>
                <c:pt idx="0">
                  <c:v>很满意</c:v>
                </c:pt>
                <c:pt idx="1">
                  <c:v>满意</c:v>
                </c:pt>
                <c:pt idx="2">
                  <c:v>不好说</c:v>
                </c:pt>
                <c:pt idx="3">
                  <c:v>不满意</c:v>
                </c:pt>
              </c:strCache>
            </c:strRef>
          </c:cat>
          <c:val>
            <c:numRef>
              <c:f>Sheet1!$B$2:$B$5</c:f>
              <c:numCache>
                <c:formatCode>0.0%</c:formatCode>
                <c:ptCount val="4"/>
                <c:pt idx="0">
                  <c:v>0.5889</c:v>
                </c:pt>
                <c:pt idx="1">
                  <c:v>0.3444</c:v>
                </c:pt>
                <c:pt idx="2">
                  <c:v>0.0444000000000001</c:v>
                </c:pt>
                <c:pt idx="3">
                  <c:v>0.0222000000000001</c:v>
                </c:pt>
              </c:numCache>
            </c:numRef>
          </c:val>
          <c:extLst>
            <c:ext xmlns:c15="http://schemas.microsoft.com/office/drawing/2012/chart" uri="{02D57815-91ED-43cb-92C2-25804820EDAC}">
              <c15:datalabelsRange>
                <c15:f>Sheet1!$C$2:$C$6</c15:f>
                <c15:dlblRangeCache>
                  <c:ptCount val="5"/>
                </c15:dlblRangeCache>
              </c15:datalabelsRange>
            </c:ext>
          </c:extLst>
        </c:ser>
        <c:dLbls>
          <c:showLegendKey val="0"/>
          <c:showVal val="0"/>
          <c:showCatName val="0"/>
          <c:showSerName val="0"/>
          <c:showPercent val="0"/>
          <c:showBubbleSize val="0"/>
        </c:dLbls>
        <c:gapWidth val="182"/>
        <c:axId val="392646016"/>
        <c:axId val="392651904"/>
      </c:barChart>
      <c:catAx>
        <c:axId val="3926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92651904"/>
        <c:crosses val="autoZero"/>
        <c:auto val="1"/>
        <c:lblAlgn val="ctr"/>
        <c:lblOffset val="100"/>
        <c:noMultiLvlLbl val="0"/>
      </c:catAx>
      <c:valAx>
        <c:axId val="392651904"/>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92646016"/>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ln>
            <a:noFill/>
          </a:ln>
        </a:defRPr>
      </a:pPr>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10734463276838"/>
          <c:y val="0.0547263681592041"/>
          <c:w val="0.953528328824055"/>
          <c:h val="0.608090748313116"/>
        </c:manualLayout>
      </c:layout>
      <c:lineChart>
        <c:grouping val="standard"/>
        <c:varyColors val="0"/>
        <c:ser>
          <c:idx val="0"/>
          <c:order val="0"/>
          <c:tx>
            <c:strRef>
              <c:f>Sheet1!$B$1</c:f>
              <c:strCache>
                <c:ptCount val="1"/>
                <c:pt idx="0">
                  <c:v/>
                </c:pt>
              </c:strCache>
            </c:strRef>
          </c:tx>
          <c:spPr>
            <a:ln w="31750" cap="rnd" cmpd="sng" algn="ctr">
              <a:solidFill>
                <a:schemeClr val="accent5"/>
              </a:solidFill>
              <a:prstDash val="solid"/>
              <a:round/>
            </a:ln>
            <a:effectLst/>
          </c:spPr>
          <c:marker>
            <c:symbol val="circle"/>
            <c:size val="17"/>
            <c:spPr>
              <a:solidFill>
                <a:schemeClr val="accent5"/>
              </a:solidFill>
              <a:ln w="9525" cap="flat" cmpd="sng" algn="ctr">
                <a:noFill/>
                <a:prstDash val="solid"/>
                <a:round/>
              </a:ln>
              <a:effectLst/>
            </c:spPr>
          </c:marker>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Sheet1!$A$2:$A$4</c:f>
              <c:strCache>
                <c:ptCount val="3"/>
                <c:pt idx="0">
                  <c:v>戏剧</c:v>
                </c:pt>
                <c:pt idx="1">
                  <c:v>戏剧与影视学</c:v>
                </c:pt>
                <c:pt idx="2">
                  <c:v>艺术学理论</c:v>
                </c:pt>
              </c:strCache>
            </c:strRef>
          </c:cat>
          <c:val>
            <c:numRef>
              <c:f>Sheet1!$B$2:$B$4</c:f>
              <c:numCache>
                <c:formatCode>0.0_);[Red]\(0.0\)</c:formatCode>
                <c:ptCount val="3"/>
                <c:pt idx="0">
                  <c:v>4.12</c:v>
                </c:pt>
                <c:pt idx="1">
                  <c:v>4.66</c:v>
                </c:pt>
                <c:pt idx="2">
                  <c:v>4.7</c:v>
                </c:pt>
              </c:numCache>
            </c:numRef>
          </c:val>
          <c:smooth val="0"/>
        </c:ser>
        <c:dLbls>
          <c:showLegendKey val="0"/>
          <c:showVal val="1"/>
          <c:showCatName val="0"/>
          <c:showSerName val="0"/>
          <c:showPercent val="0"/>
          <c:showBubbleSize val="0"/>
        </c:dLbls>
        <c:marker val="1"/>
        <c:smooth val="0"/>
        <c:axId val="396066816"/>
        <c:axId val="396069504"/>
      </c:lineChart>
      <c:catAx>
        <c:axId val="3960668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96069504"/>
        <c:crosses val="autoZero"/>
        <c:auto val="1"/>
        <c:lblAlgn val="ctr"/>
        <c:lblOffset val="100"/>
        <c:tickLblSkip val="1"/>
        <c:noMultiLvlLbl val="0"/>
      </c:catAx>
      <c:valAx>
        <c:axId val="3960695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_);[Red]\(0.0\)"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96066816"/>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10734463276838"/>
          <c:y val="0.0547263681592041"/>
          <c:w val="0.953528328824055"/>
          <c:h val="0.608090748313116"/>
        </c:manualLayout>
      </c:layout>
      <c:lineChart>
        <c:grouping val="standard"/>
        <c:varyColors val="0"/>
        <c:ser>
          <c:idx val="0"/>
          <c:order val="0"/>
          <c:tx>
            <c:strRef>
              <c:f>Sheet1!$B$1</c:f>
              <c:strCache>
                <c:ptCount val="1"/>
                <c:pt idx="0">
                  <c:v/>
                </c:pt>
              </c:strCache>
            </c:strRef>
          </c:tx>
          <c:spPr>
            <a:ln w="31750" cap="rnd" cmpd="sng" algn="ctr">
              <a:solidFill>
                <a:schemeClr val="accent5"/>
              </a:solidFill>
              <a:prstDash val="solid"/>
              <a:round/>
            </a:ln>
            <a:effectLst/>
          </c:spPr>
          <c:marker>
            <c:symbol val="circle"/>
            <c:size val="17"/>
            <c:spPr>
              <a:solidFill>
                <a:schemeClr val="accent5"/>
              </a:solidFill>
              <a:ln w="9525" cap="flat" cmpd="sng" algn="ctr">
                <a:noFill/>
                <a:prstDash val="solid"/>
                <a:round/>
              </a:ln>
              <a:effectLst/>
            </c:spPr>
          </c:marker>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Sheet1!$A$2:$A$3</c:f>
              <c:strCache>
                <c:ptCount val="2"/>
                <c:pt idx="0">
                  <c:v>戏剧与影视学</c:v>
                </c:pt>
                <c:pt idx="1">
                  <c:v>艺术学理论</c:v>
                </c:pt>
              </c:strCache>
            </c:strRef>
          </c:cat>
          <c:val>
            <c:numRef>
              <c:f>Sheet1!$B$2:$B$3</c:f>
              <c:numCache>
                <c:formatCode>0.0_);[Red]\(0.0\)</c:formatCode>
                <c:ptCount val="2"/>
                <c:pt idx="0">
                  <c:v>4.69</c:v>
                </c:pt>
                <c:pt idx="1">
                  <c:v>4.5</c:v>
                </c:pt>
              </c:numCache>
            </c:numRef>
          </c:val>
          <c:smooth val="0"/>
        </c:ser>
        <c:dLbls>
          <c:showLegendKey val="0"/>
          <c:showVal val="1"/>
          <c:showCatName val="0"/>
          <c:showSerName val="0"/>
          <c:showPercent val="0"/>
          <c:showBubbleSize val="0"/>
        </c:dLbls>
        <c:marker val="1"/>
        <c:smooth val="0"/>
        <c:axId val="385107456"/>
        <c:axId val="396042624"/>
      </c:lineChart>
      <c:catAx>
        <c:axId val="3851074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96042624"/>
        <c:crosses val="autoZero"/>
        <c:auto val="1"/>
        <c:lblAlgn val="ctr"/>
        <c:lblOffset val="100"/>
        <c:tickLblSkip val="1"/>
        <c:noMultiLvlLbl val="0"/>
      </c:catAx>
      <c:valAx>
        <c:axId val="3960426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_);[Red]\(0.0\)"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5107456"/>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593673447069119"/>
          <c:y val="0.0251859142607174"/>
          <c:w val="0.91606940981907"/>
          <c:h val="0.857855474257449"/>
        </c:manualLayout>
      </c:layout>
      <c:barChart>
        <c:barDir val="col"/>
        <c:grouping val="clustered"/>
        <c:varyColors val="0"/>
        <c:ser>
          <c:idx val="0"/>
          <c:order val="0"/>
          <c:tx>
            <c:strRef>
              <c:f>Sheet1!$A$2</c:f>
              <c:strCache>
                <c:ptCount val="1"/>
                <c:pt idx="0">
                  <c:v>专业知识</c:v>
                </c:pt>
              </c:strCache>
            </c:strRef>
          </c:tx>
          <c:spPr>
            <a:solidFill>
              <a:schemeClr val="accent5">
                <a:alpha val="85000"/>
              </a:schemeClr>
            </a:solidFill>
            <a:ln w="9525" cap="flat" cmpd="sng" algn="ctr">
              <a:solidFill>
                <a:schemeClr val="lt1">
                  <a:alpha val="50000"/>
                </a:schemeClr>
              </a:solidFill>
              <a:round/>
            </a:ln>
            <a:effectLst/>
          </c:spPr>
          <c:invertIfNegative val="0"/>
          <c:dLbls>
            <c:dLbl>
              <c:idx val="4"/>
              <c:layout>
                <c:manualLayout>
                  <c:x val="0"/>
                  <c:y val="0.057657167854018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Sheet1!$B$1:$F$1</c:f>
              <c:strCache>
                <c:ptCount val="5"/>
                <c:pt idx="0">
                  <c:v>很多</c:v>
                </c:pt>
                <c:pt idx="1">
                  <c:v>多</c:v>
                </c:pt>
                <c:pt idx="2">
                  <c:v>不好说</c:v>
                </c:pt>
                <c:pt idx="3">
                  <c:v>少</c:v>
                </c:pt>
                <c:pt idx="4">
                  <c:v>很少</c:v>
                </c:pt>
              </c:strCache>
            </c:strRef>
          </c:cat>
          <c:val>
            <c:numRef>
              <c:f>Sheet1!$B$2:$F$2</c:f>
              <c:numCache>
                <c:formatCode>0.0%</c:formatCode>
                <c:ptCount val="5"/>
                <c:pt idx="0">
                  <c:v>0.4556</c:v>
                </c:pt>
                <c:pt idx="1">
                  <c:v>0.4111</c:v>
                </c:pt>
                <c:pt idx="2" c:formatCode="0.00%">
                  <c:v>0.1</c:v>
                </c:pt>
                <c:pt idx="3" c:formatCode="0.00%">
                  <c:v>0.0222000000000001</c:v>
                </c:pt>
                <c:pt idx="4" c:formatCode="0.00%">
                  <c:v>0.0111</c:v>
                </c:pt>
              </c:numCache>
            </c:numRef>
          </c:val>
        </c:ser>
        <c:ser>
          <c:idx val="1"/>
          <c:order val="1"/>
          <c:tx>
            <c:strRef>
              <c:f>Sheet1!$A$3</c:f>
              <c:strCache>
                <c:ptCount val="1"/>
                <c:pt idx="0">
                  <c:v>专业技能</c:v>
                </c:pt>
              </c:strCache>
            </c:strRef>
          </c:tx>
          <c:spPr>
            <a:solidFill>
              <a:schemeClr val="accent5">
                <a:tint val="77000"/>
                <a:alpha val="85000"/>
              </a:scheme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Sheet1!$B$1:$F$1</c:f>
              <c:strCache>
                <c:ptCount val="5"/>
                <c:pt idx="0">
                  <c:v>很多</c:v>
                </c:pt>
                <c:pt idx="1">
                  <c:v>多</c:v>
                </c:pt>
                <c:pt idx="2">
                  <c:v>不好说</c:v>
                </c:pt>
                <c:pt idx="3">
                  <c:v>少</c:v>
                </c:pt>
                <c:pt idx="4">
                  <c:v>很少</c:v>
                </c:pt>
              </c:strCache>
            </c:strRef>
          </c:cat>
          <c:val>
            <c:numRef>
              <c:f>Sheet1!$B$3:$F$3</c:f>
              <c:numCache>
                <c:formatCode>0.0%</c:formatCode>
                <c:ptCount val="5"/>
                <c:pt idx="0">
                  <c:v>0.4444</c:v>
                </c:pt>
                <c:pt idx="1">
                  <c:v>0.4111</c:v>
                </c:pt>
                <c:pt idx="2" c:formatCode="0.00%">
                  <c:v>0.1222</c:v>
                </c:pt>
                <c:pt idx="3" c:formatCode="0.00%">
                  <c:v>0.0222000000000001</c:v>
                </c:pt>
              </c:numCache>
            </c:numRef>
          </c:val>
        </c:ser>
        <c:dLbls>
          <c:showLegendKey val="0"/>
          <c:showVal val="1"/>
          <c:showCatName val="0"/>
          <c:showSerName val="0"/>
          <c:showPercent val="0"/>
          <c:showBubbleSize val="0"/>
        </c:dLbls>
        <c:gapWidth val="65"/>
        <c:axId val="395983104"/>
        <c:axId val="395993088"/>
      </c:barChart>
      <c:catAx>
        <c:axId val="3959831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95993088"/>
        <c:crosses val="autoZero"/>
        <c:auto val="1"/>
        <c:lblAlgn val="ctr"/>
        <c:lblOffset val="100"/>
        <c:noMultiLvlLbl val="0"/>
      </c:catAx>
      <c:valAx>
        <c:axId val="3959930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 sourceLinked="0"/>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95983104"/>
        <c:crosses val="autoZero"/>
        <c:crossBetween val="between"/>
      </c:valAx>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310734463276838"/>
          <c:y val="0.054726368159204"/>
          <c:w val="0.934265091863517"/>
          <c:h val="0.697779313635955"/>
        </c:manualLayout>
      </c:layout>
      <c:lineChart>
        <c:grouping val="standard"/>
        <c:varyColors val="0"/>
        <c:ser>
          <c:idx val="0"/>
          <c:order val="0"/>
          <c:tx>
            <c:strRef>
              <c:f>Sheet1!$A$2</c:f>
              <c:strCache>
                <c:ptCount val="1"/>
                <c:pt idx="0">
                  <c:v>所学专业知识满足工作需要的程度</c:v>
                </c:pt>
              </c:strCache>
            </c:strRef>
          </c:tx>
          <c:spPr>
            <a:ln w="31750" cap="rnd" cmpd="sng" algn="ctr">
              <a:solidFill>
                <a:schemeClr val="accent5">
                  <a:shade val="76000"/>
                </a:schemeClr>
              </a:solidFill>
              <a:prstDash val="solid"/>
              <a:round/>
            </a:ln>
            <a:effectLst/>
          </c:spPr>
          <c:marker>
            <c:symbol val="circle"/>
            <c:size val="17"/>
            <c:spPr>
              <a:solidFill>
                <a:schemeClr val="accent5">
                  <a:shade val="76000"/>
                </a:schemeClr>
              </a:solidFill>
              <a:ln w="9525" cap="flat" cmpd="sng" algn="ctr">
                <a:noFill/>
                <a:prstDash val="solid"/>
                <a:round/>
              </a:ln>
              <a:effectLst/>
            </c:spPr>
          </c:marker>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Sheet1!$B$1:$D$1</c:f>
              <c:strCache>
                <c:ptCount val="3"/>
                <c:pt idx="0">
                  <c:v>戏剧</c:v>
                </c:pt>
                <c:pt idx="1">
                  <c:v>戏剧与影视学</c:v>
                </c:pt>
                <c:pt idx="2">
                  <c:v>艺术学理论</c:v>
                </c:pt>
              </c:strCache>
            </c:strRef>
          </c:cat>
          <c:val>
            <c:numRef>
              <c:f>Sheet1!$B$2:$D$2</c:f>
              <c:numCache>
                <c:formatCode>0.0_);[Red]\(0.0\)</c:formatCode>
                <c:ptCount val="3"/>
                <c:pt idx="0">
                  <c:v>4.04</c:v>
                </c:pt>
                <c:pt idx="1">
                  <c:v>4.26</c:v>
                </c:pt>
                <c:pt idx="2" c:formatCode="General">
                  <c:v>4.7</c:v>
                </c:pt>
              </c:numCache>
            </c:numRef>
          </c:val>
          <c:smooth val="0"/>
        </c:ser>
        <c:ser>
          <c:idx val="1"/>
          <c:order val="1"/>
          <c:tx>
            <c:strRef>
              <c:f>Sheet1!$A$3</c:f>
              <c:strCache>
                <c:ptCount val="1"/>
                <c:pt idx="0">
                  <c:v>所学专业技能满足工作需要的程度</c:v>
                </c:pt>
              </c:strCache>
            </c:strRef>
          </c:tx>
          <c:spPr>
            <a:ln w="31750" cap="rnd" cmpd="sng" algn="ctr">
              <a:solidFill>
                <a:schemeClr val="accent5">
                  <a:tint val="77000"/>
                </a:schemeClr>
              </a:solidFill>
              <a:prstDash val="solid"/>
              <a:round/>
            </a:ln>
            <a:effectLst/>
          </c:spPr>
          <c:marker>
            <c:symbol val="circle"/>
            <c:size val="17"/>
            <c:spPr>
              <a:solidFill>
                <a:schemeClr val="accent5">
                  <a:tint val="77000"/>
                </a:schemeClr>
              </a:solidFill>
              <a:ln w="9525" cap="flat" cmpd="sng" algn="ctr">
                <a:noFill/>
                <a:prstDash val="solid"/>
                <a:round/>
              </a:ln>
              <a:effectLst/>
            </c:spPr>
          </c:marker>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Sheet1!$B$1:$D$1</c:f>
              <c:strCache>
                <c:ptCount val="3"/>
                <c:pt idx="0">
                  <c:v>戏剧</c:v>
                </c:pt>
                <c:pt idx="1">
                  <c:v>戏剧与影视学</c:v>
                </c:pt>
                <c:pt idx="2">
                  <c:v>艺术学理论</c:v>
                </c:pt>
              </c:strCache>
            </c:strRef>
          </c:cat>
          <c:val>
            <c:numRef>
              <c:f>Sheet1!$B$3:$D$3</c:f>
              <c:numCache>
                <c:formatCode>0.0_);[Red]\(0.0\)</c:formatCode>
                <c:ptCount val="3"/>
                <c:pt idx="0">
                  <c:v>3.96</c:v>
                </c:pt>
                <c:pt idx="1">
                  <c:v>4.34</c:v>
                </c:pt>
                <c:pt idx="2" c:formatCode="General">
                  <c:v>4.6</c:v>
                </c:pt>
              </c:numCache>
            </c:numRef>
          </c:val>
          <c:smooth val="0"/>
        </c:ser>
        <c:dLbls>
          <c:showLegendKey val="0"/>
          <c:showVal val="1"/>
          <c:showCatName val="0"/>
          <c:showSerName val="0"/>
          <c:showPercent val="0"/>
          <c:showBubbleSize val="0"/>
        </c:dLbls>
        <c:marker val="1"/>
        <c:smooth val="0"/>
        <c:axId val="396093312"/>
        <c:axId val="396094848"/>
      </c:lineChart>
      <c:catAx>
        <c:axId val="3960933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96094848"/>
        <c:crosses val="autoZero"/>
        <c:auto val="1"/>
        <c:lblAlgn val="ctr"/>
        <c:lblOffset val="100"/>
        <c:tickLblSkip val="1"/>
        <c:noMultiLvlLbl val="0"/>
      </c:catAx>
      <c:valAx>
        <c:axId val="3960948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_);[Red]\(0.0\)"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96093312"/>
        <c:crosses val="autoZero"/>
        <c:crossBetween val="between"/>
      </c:valAx>
      <c:spPr>
        <a:noFill/>
        <a:ln>
          <a:noFill/>
        </a:ln>
        <a:effectLst/>
      </c:spPr>
    </c:plotArea>
    <c:legend>
      <c:legendPos val="b"/>
      <c:layout>
        <c:manualLayout>
          <c:xMode val="edge"/>
          <c:yMode val="edge"/>
          <c:x val="0.0373664043258739"/>
          <c:y val="0.905257541833972"/>
          <c:w val="0.912593306043824"/>
          <c:h val="0.073437406838587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1500255176438"/>
          <c:y val="0.128859247432781"/>
          <c:w val="0.436856959525672"/>
          <c:h val="0.843552777420266"/>
        </c:manualLayout>
      </c:layout>
      <c:pieChart>
        <c:varyColors val="1"/>
        <c:ser>
          <c:idx val="0"/>
          <c:order val="0"/>
          <c:tx>
            <c:strRef>
              <c:f>Sheet1!$B$1</c:f>
              <c:strCache>
                <c:ptCount val="1"/>
                <c:pt idx="0">
                  <c:v/>
                </c:pt>
              </c:strCache>
            </c:strRef>
          </c:tx>
          <c:explosion val="0"/>
          <c:dPt>
            <c:idx val="0"/>
            <c:bubble3D val="0"/>
            <c:explosion val="6"/>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16002825294343"/>
                  <c:y val="-0.182370820668693"/>
                </c:manualLayout>
              </c:layout>
              <c:numFmt formatCode="0.00%" sourceLinked="0"/>
              <c:spPr>
                <a:no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00380797946687495"/>
                  <c:y val="0.142713862894798"/>
                </c:manualLayout>
              </c:layout>
              <c:numFmt formatCode="0.00%" sourceLinked="0"/>
              <c:spPr>
                <a:no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0302415925109805"/>
                  <c:y val="0.053927833488899"/>
                </c:manualLayout>
              </c:layout>
              <c:numFmt formatCode="0.00%" sourceLinked="0"/>
              <c:spPr>
                <a:no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0.135965897503495"/>
                  <c:y val="0.0895180655609544"/>
                </c:manualLayout>
              </c:layout>
              <c:numFmt formatCode="0.00%" sourceLinked="0"/>
              <c:spPr>
                <a:no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4"/>
              <c:layout>
                <c:manualLayout>
                  <c:x val="0.059603861898817"/>
                  <c:y val="-0.0327118684632508"/>
                </c:manualLayout>
              </c:layout>
              <c:numFmt formatCode="0.00%" sourceLinked="0"/>
              <c:spPr>
                <a:no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numFmt formatCode="0.00%" sourceLinked="0"/>
            <c:spPr>
              <a:no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p>
            </c:txPr>
            <c:dLblPos val="bestFit"/>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ext>
            </c:extLst>
          </c:dLbls>
          <c:cat>
            <c:strRef>
              <c:f>Sheet1!$A$2:$A$6</c:f>
              <c:strCache>
                <c:ptCount val="5"/>
                <c:pt idx="0">
                  <c:v>自主选择</c:v>
                </c:pt>
                <c:pt idx="1">
                  <c:v>父母意见</c:v>
                </c:pt>
                <c:pt idx="2">
                  <c:v>他人推荐（除父母外）</c:v>
                </c:pt>
                <c:pt idx="3">
                  <c:v>专业调剂</c:v>
                </c:pt>
                <c:pt idx="4">
                  <c:v>其他</c:v>
                </c:pt>
              </c:strCache>
            </c:strRef>
          </c:cat>
          <c:val>
            <c:numRef>
              <c:f>Sheet1!$B$2:$B$6</c:f>
              <c:numCache>
                <c:formatCode>###0"人"</c:formatCode>
                <c:ptCount val="5"/>
                <c:pt idx="0">
                  <c:v>247</c:v>
                </c:pt>
                <c:pt idx="1">
                  <c:v>13</c:v>
                </c:pt>
                <c:pt idx="2">
                  <c:v>9</c:v>
                </c:pt>
                <c:pt idx="3">
                  <c:v>2</c:v>
                </c:pt>
                <c:pt idx="4">
                  <c:v>3</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310734463276838"/>
          <c:y val="0.054726368159204"/>
          <c:w val="0.934265091863517"/>
          <c:h val="0.697779313635955"/>
        </c:manualLayout>
      </c:layout>
      <c:lineChart>
        <c:grouping val="standard"/>
        <c:varyColors val="0"/>
        <c:ser>
          <c:idx val="0"/>
          <c:order val="0"/>
          <c:tx>
            <c:strRef>
              <c:f>Sheet1!$A$2</c:f>
              <c:strCache>
                <c:ptCount val="1"/>
                <c:pt idx="0">
                  <c:v>所学专业知识满足工作需要的程度</c:v>
                </c:pt>
              </c:strCache>
            </c:strRef>
          </c:tx>
          <c:spPr>
            <a:ln w="31750" cap="rnd" cmpd="sng" algn="ctr">
              <a:solidFill>
                <a:schemeClr val="accent5">
                  <a:shade val="76000"/>
                </a:schemeClr>
              </a:solidFill>
              <a:prstDash val="solid"/>
              <a:round/>
            </a:ln>
            <a:effectLst/>
          </c:spPr>
          <c:marker>
            <c:symbol val="circle"/>
            <c:size val="17"/>
            <c:spPr>
              <a:solidFill>
                <a:schemeClr val="accent5">
                  <a:shade val="76000"/>
                </a:schemeClr>
              </a:solidFill>
              <a:ln w="9525" cap="flat" cmpd="sng" algn="ctr">
                <a:noFill/>
                <a:prstDash val="solid"/>
                <a:round/>
              </a:ln>
              <a:effectLst/>
            </c:spPr>
          </c:marker>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Sheet1!$B$1:$C$1</c:f>
              <c:strCache>
                <c:ptCount val="2"/>
                <c:pt idx="0">
                  <c:v>戏剧与影视学</c:v>
                </c:pt>
                <c:pt idx="1">
                  <c:v>艺术学理论</c:v>
                </c:pt>
              </c:strCache>
            </c:strRef>
          </c:cat>
          <c:val>
            <c:numRef>
              <c:f>Sheet1!$B$2:$C$2</c:f>
              <c:numCache>
                <c:formatCode>0.0_);[Red]\(0.0\)</c:formatCode>
                <c:ptCount val="2"/>
                <c:pt idx="0">
                  <c:v>4.46</c:v>
                </c:pt>
                <c:pt idx="1">
                  <c:v>4.33</c:v>
                </c:pt>
              </c:numCache>
            </c:numRef>
          </c:val>
          <c:smooth val="0"/>
        </c:ser>
        <c:ser>
          <c:idx val="1"/>
          <c:order val="1"/>
          <c:tx>
            <c:strRef>
              <c:f>Sheet1!$A$3</c:f>
              <c:strCache>
                <c:ptCount val="1"/>
                <c:pt idx="0">
                  <c:v>所学专业技能满足工作需要的程度</c:v>
                </c:pt>
              </c:strCache>
            </c:strRef>
          </c:tx>
          <c:spPr>
            <a:ln w="31750" cap="rnd" cmpd="sng" algn="ctr">
              <a:solidFill>
                <a:schemeClr val="accent5">
                  <a:tint val="77000"/>
                </a:schemeClr>
              </a:solidFill>
              <a:prstDash val="solid"/>
              <a:round/>
            </a:ln>
            <a:effectLst/>
          </c:spPr>
          <c:marker>
            <c:symbol val="circle"/>
            <c:size val="17"/>
            <c:spPr>
              <a:solidFill>
                <a:schemeClr val="accent5">
                  <a:tint val="77000"/>
                </a:schemeClr>
              </a:solidFill>
              <a:ln w="9525" cap="flat" cmpd="sng" algn="ctr">
                <a:noFill/>
                <a:prstDash val="solid"/>
                <a:round/>
              </a:ln>
              <a:effectLst/>
            </c:spPr>
          </c:marker>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Sheet1!$B$1:$C$1</c:f>
              <c:strCache>
                <c:ptCount val="2"/>
                <c:pt idx="0">
                  <c:v>戏剧与影视学</c:v>
                </c:pt>
                <c:pt idx="1">
                  <c:v>艺术学理论</c:v>
                </c:pt>
              </c:strCache>
            </c:strRef>
          </c:cat>
          <c:val>
            <c:numRef>
              <c:f>Sheet1!$B$3:$C$3</c:f>
              <c:numCache>
                <c:formatCode>0.0_);[Red]\(0.0\)</c:formatCode>
                <c:ptCount val="2"/>
                <c:pt idx="0">
                  <c:v>4.54</c:v>
                </c:pt>
                <c:pt idx="1">
                  <c:v>4.17</c:v>
                </c:pt>
              </c:numCache>
            </c:numRef>
          </c:val>
          <c:smooth val="0"/>
        </c:ser>
        <c:dLbls>
          <c:showLegendKey val="0"/>
          <c:showVal val="1"/>
          <c:showCatName val="0"/>
          <c:showSerName val="0"/>
          <c:showPercent val="0"/>
          <c:showBubbleSize val="0"/>
        </c:dLbls>
        <c:marker val="1"/>
        <c:smooth val="0"/>
        <c:axId val="396330496"/>
        <c:axId val="396332032"/>
      </c:lineChart>
      <c:catAx>
        <c:axId val="3963304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96332032"/>
        <c:crosses val="autoZero"/>
        <c:auto val="1"/>
        <c:lblAlgn val="ctr"/>
        <c:lblOffset val="100"/>
        <c:tickLblSkip val="1"/>
        <c:noMultiLvlLbl val="0"/>
      </c:catAx>
      <c:valAx>
        <c:axId val="3963320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_);[Red]\(0.0\)"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96330496"/>
        <c:crosses val="autoZero"/>
        <c:crossBetween val="between"/>
      </c:valAx>
      <c:spPr>
        <a:noFill/>
        <a:ln>
          <a:noFill/>
        </a:ln>
        <a:effectLst/>
      </c:spPr>
    </c:plotArea>
    <c:legend>
      <c:legendPos val="b"/>
      <c:layout>
        <c:manualLayout>
          <c:xMode val="edge"/>
          <c:yMode val="edge"/>
          <c:x val="0.0373664043258739"/>
          <c:y val="0.905257541833972"/>
          <c:w val="0.912593306043824"/>
          <c:h val="0.073437406838587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755711335456109"/>
          <c:y val="0.0251858014240174"/>
          <c:w val="0.91606940981907"/>
          <c:h val="0.862654721961763"/>
        </c:manualLayout>
      </c:layout>
      <c:barChart>
        <c:barDir val="col"/>
        <c:grouping val="clustered"/>
        <c:varyColors val="0"/>
        <c:ser>
          <c:idx val="0"/>
          <c:order val="0"/>
          <c:tx>
            <c:strRef>
              <c:f>Sheet1!$B$1</c:f>
              <c:strCache>
                <c:ptCount val="1"/>
                <c:pt idx="0">
                  <c:v/>
                </c:pt>
              </c:strCache>
            </c:strRef>
          </c:tx>
          <c:spPr>
            <a:solidFill>
              <a:schemeClr val="accent5">
                <a:alpha val="80000"/>
              </a:schemeClr>
            </a:solidFill>
            <a:ln>
              <a:noFill/>
            </a:ln>
            <a:effectLst/>
          </c:spPr>
          <c:invertIfNegative val="0"/>
          <c:dPt>
            <c:idx val="0"/>
            <c:invertIfNegative val="0"/>
            <c:bubble3D val="0"/>
            <c:spPr>
              <a:solidFill>
                <a:srgbClr val="358DA5">
                  <a:alpha val="80000"/>
                </a:srgbClr>
              </a:solidFill>
              <a:ln>
                <a:noFill/>
              </a:ln>
              <a:effectLst/>
            </c:spPr>
          </c:dPt>
          <c:dPt>
            <c:idx val="1"/>
            <c:invertIfNegative val="0"/>
            <c:bubble3D val="0"/>
            <c:spPr>
              <a:solidFill>
                <a:srgbClr val="358DA5">
                  <a:alpha val="80000"/>
                </a:srgbClr>
              </a:solidFill>
              <a:ln>
                <a:noFill/>
              </a:ln>
              <a:effectLst/>
            </c:spPr>
          </c:dPt>
          <c:dPt>
            <c:idx val="3"/>
            <c:invertIfNegative val="0"/>
            <c:bubble3D val="0"/>
            <c:spPr>
              <a:solidFill>
                <a:schemeClr val="accent5">
                  <a:lumMod val="60000"/>
                  <a:lumOff val="40000"/>
                  <a:alpha val="80000"/>
                </a:schemeClr>
              </a:solidFill>
              <a:ln>
                <a:noFill/>
              </a:ln>
              <a:effectLst/>
            </c:spPr>
          </c:dPt>
          <c:dLbls>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0"/>
                <c15:leaderLines/>
              </c:ext>
            </c:extLst>
          </c:dLbls>
          <c:cat>
            <c:strRef>
              <c:f>Sheet1!$A$2:$A$5</c:f>
              <c:strCache>
                <c:ptCount val="4"/>
                <c:pt idx="0">
                  <c:v>很高</c:v>
                </c:pt>
                <c:pt idx="1">
                  <c:v>高</c:v>
                </c:pt>
                <c:pt idx="2">
                  <c:v>不好说</c:v>
                </c:pt>
                <c:pt idx="3">
                  <c:v>低</c:v>
                </c:pt>
              </c:strCache>
            </c:strRef>
          </c:cat>
          <c:val>
            <c:numRef>
              <c:f>Sheet1!$B$2:$B$5</c:f>
              <c:numCache>
                <c:formatCode>0.0%</c:formatCode>
                <c:ptCount val="4"/>
                <c:pt idx="0">
                  <c:v>0.2333</c:v>
                </c:pt>
                <c:pt idx="1">
                  <c:v>0.377800000000001</c:v>
                </c:pt>
                <c:pt idx="2">
                  <c:v>0.2778</c:v>
                </c:pt>
                <c:pt idx="3">
                  <c:v>0.1111</c:v>
                </c:pt>
              </c:numCache>
            </c:numRef>
          </c:val>
          <c:extLst>
            <c:ext xmlns:c15="http://schemas.microsoft.com/office/drawing/2012/chart" uri="{02D57815-91ED-43cb-92C2-25804820EDAC}">
              <c15:datalabelsRange>
                <c15:f>Sheet1!$C$2:$C$6</c15:f>
                <c15:dlblRangeCache>
                  <c:ptCount val="5"/>
                </c15:dlblRangeCache>
              </c15:datalabelsRange>
            </c:ext>
          </c:extLst>
        </c:ser>
        <c:dLbls>
          <c:showLegendKey val="0"/>
          <c:showVal val="0"/>
          <c:showCatName val="0"/>
          <c:showSerName val="0"/>
          <c:showPercent val="0"/>
          <c:showBubbleSize val="0"/>
        </c:dLbls>
        <c:gapWidth val="182"/>
        <c:axId val="396552064"/>
        <c:axId val="396553600"/>
      </c:barChart>
      <c:catAx>
        <c:axId val="39655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96553600"/>
        <c:crosses val="autoZero"/>
        <c:auto val="1"/>
        <c:lblAlgn val="ctr"/>
        <c:lblOffset val="100"/>
        <c:noMultiLvlLbl val="0"/>
      </c:catAx>
      <c:valAx>
        <c:axId val="396553600"/>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96552064"/>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ln>
            <a:noFill/>
          </a:ln>
        </a:defRPr>
      </a:pPr>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10734463276838"/>
          <c:y val="0.0547263681592041"/>
          <c:w val="0.953528328824055"/>
          <c:h val="0.608090748313116"/>
        </c:manualLayout>
      </c:layout>
      <c:lineChart>
        <c:grouping val="standard"/>
        <c:varyColors val="0"/>
        <c:ser>
          <c:idx val="0"/>
          <c:order val="0"/>
          <c:tx>
            <c:strRef>
              <c:f>Sheet1!$B$1</c:f>
              <c:strCache>
                <c:ptCount val="1"/>
                <c:pt idx="0">
                  <c:v/>
                </c:pt>
              </c:strCache>
            </c:strRef>
          </c:tx>
          <c:spPr>
            <a:ln w="31750" cap="rnd" cmpd="sng" algn="ctr">
              <a:solidFill>
                <a:schemeClr val="accent5"/>
              </a:solidFill>
              <a:prstDash val="solid"/>
              <a:round/>
            </a:ln>
            <a:effectLst/>
          </c:spPr>
          <c:marker>
            <c:symbol val="circle"/>
            <c:size val="17"/>
            <c:spPr>
              <a:solidFill>
                <a:schemeClr val="accent5"/>
              </a:solidFill>
              <a:ln w="9525" cap="flat" cmpd="sng" algn="ctr">
                <a:noFill/>
                <a:prstDash val="solid"/>
                <a:round/>
              </a:ln>
              <a:effectLst/>
            </c:spPr>
          </c:marker>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Sheet1!$A$2:$A$4</c:f>
              <c:strCache>
                <c:ptCount val="3"/>
                <c:pt idx="0">
                  <c:v>戏剧</c:v>
                </c:pt>
                <c:pt idx="1">
                  <c:v>戏剧与影视学</c:v>
                </c:pt>
                <c:pt idx="2">
                  <c:v>艺术学理论</c:v>
                </c:pt>
              </c:strCache>
            </c:strRef>
          </c:cat>
          <c:val>
            <c:numRef>
              <c:f>Sheet1!$B$2:$B$4</c:f>
              <c:numCache>
                <c:formatCode>0.0_);[Red]\(0.0\)</c:formatCode>
                <c:ptCount val="3"/>
                <c:pt idx="0">
                  <c:v>3.77</c:v>
                </c:pt>
                <c:pt idx="1">
                  <c:v>3.77</c:v>
                </c:pt>
                <c:pt idx="2">
                  <c:v>4.1</c:v>
                </c:pt>
              </c:numCache>
            </c:numRef>
          </c:val>
          <c:smooth val="0"/>
        </c:ser>
        <c:dLbls>
          <c:showLegendKey val="0"/>
          <c:showVal val="1"/>
          <c:showCatName val="0"/>
          <c:showSerName val="0"/>
          <c:showPercent val="0"/>
          <c:showBubbleSize val="0"/>
        </c:dLbls>
        <c:marker val="1"/>
        <c:smooth val="0"/>
        <c:axId val="387143936"/>
        <c:axId val="396088448"/>
      </c:lineChart>
      <c:catAx>
        <c:axId val="3871439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96088448"/>
        <c:crosses val="autoZero"/>
        <c:auto val="1"/>
        <c:lblAlgn val="ctr"/>
        <c:lblOffset val="100"/>
        <c:tickLblSkip val="1"/>
        <c:noMultiLvlLbl val="0"/>
      </c:catAx>
      <c:valAx>
        <c:axId val="3960884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_);[Red]\(0.0\)"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7143936"/>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10734463276838"/>
          <c:y val="0.0547263681592041"/>
          <c:w val="0.953528328824055"/>
          <c:h val="0.608090748313116"/>
        </c:manualLayout>
      </c:layout>
      <c:lineChart>
        <c:grouping val="standard"/>
        <c:varyColors val="0"/>
        <c:ser>
          <c:idx val="0"/>
          <c:order val="0"/>
          <c:tx>
            <c:strRef>
              <c:f>Sheet1!$B$1</c:f>
              <c:strCache>
                <c:ptCount val="1"/>
                <c:pt idx="0">
                  <c:v/>
                </c:pt>
              </c:strCache>
            </c:strRef>
          </c:tx>
          <c:spPr>
            <a:ln w="31750" cap="rnd" cmpd="sng" algn="ctr">
              <a:solidFill>
                <a:schemeClr val="accent5"/>
              </a:solidFill>
              <a:prstDash val="solid"/>
              <a:round/>
            </a:ln>
            <a:effectLst/>
          </c:spPr>
          <c:marker>
            <c:symbol val="circle"/>
            <c:size val="17"/>
            <c:spPr>
              <a:solidFill>
                <a:schemeClr val="accent5"/>
              </a:solidFill>
              <a:ln w="9525" cap="flat" cmpd="sng" algn="ctr">
                <a:noFill/>
                <a:prstDash val="solid"/>
                <a:round/>
              </a:ln>
              <a:effectLst/>
            </c:spPr>
          </c:marker>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Sheet1!$A$2:$A$3</c:f>
              <c:strCache>
                <c:ptCount val="2"/>
                <c:pt idx="0">
                  <c:v>戏剧与影视学</c:v>
                </c:pt>
                <c:pt idx="1">
                  <c:v>艺术学理论</c:v>
                </c:pt>
              </c:strCache>
            </c:strRef>
          </c:cat>
          <c:val>
            <c:numRef>
              <c:f>Sheet1!$B$2:$B$3</c:f>
              <c:numCache>
                <c:formatCode>0.0_);[Red]\(0.0\)</c:formatCode>
                <c:ptCount val="2"/>
                <c:pt idx="0">
                  <c:v>3.54</c:v>
                </c:pt>
                <c:pt idx="1">
                  <c:v>3.17</c:v>
                </c:pt>
              </c:numCache>
            </c:numRef>
          </c:val>
          <c:smooth val="0"/>
        </c:ser>
        <c:dLbls>
          <c:showLegendKey val="0"/>
          <c:showVal val="1"/>
          <c:showCatName val="0"/>
          <c:showSerName val="0"/>
          <c:showPercent val="0"/>
          <c:showBubbleSize val="0"/>
        </c:dLbls>
        <c:marker val="1"/>
        <c:smooth val="0"/>
        <c:axId val="396218368"/>
        <c:axId val="396221056"/>
      </c:lineChart>
      <c:catAx>
        <c:axId val="3962183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96221056"/>
        <c:crosses val="autoZero"/>
        <c:auto val="1"/>
        <c:lblAlgn val="ctr"/>
        <c:lblOffset val="100"/>
        <c:tickLblSkip val="1"/>
        <c:noMultiLvlLbl val="0"/>
      </c:catAx>
      <c:valAx>
        <c:axId val="3962210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_);[Red]\(0.0\)"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96218368"/>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576446345224"/>
          <c:y val="0.130262958703196"/>
          <c:w val="0.65122027259284"/>
          <c:h val="0.720732548880828"/>
        </c:manualLayout>
      </c:layout>
      <c:radarChart>
        <c:radarStyle val="filled"/>
        <c:varyColors val="0"/>
        <c:ser>
          <c:idx val="0"/>
          <c:order val="0"/>
          <c:tx>
            <c:strRef>
              <c:f>Sheet1!$B$1</c:f>
              <c:strCache>
                <c:ptCount val="1"/>
                <c:pt idx="0">
                  <c:v/>
                </c:pt>
              </c:strCache>
            </c:strRef>
          </c:tx>
          <c:spPr>
            <a:solidFill>
              <a:schemeClr val="accent5">
                <a:alpha val="50196"/>
              </a:schemeClr>
            </a:solidFill>
            <a:ln w="25400">
              <a:solidFill>
                <a:schemeClr val="accent5"/>
              </a:solidFill>
              <a:prstDash val="sysDot"/>
            </a:ln>
            <a:effectLst/>
          </c:spPr>
          <c:dLbls>
            <c:dLbl>
              <c:idx val="0"/>
              <c:layout>
                <c:manualLayout>
                  <c:x val="0"/>
                  <c:y val="0.0495338970793527"/>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09342643871901"/>
                  <c:y val="0.0660451961058036"/>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674211413436069"/>
                  <c:y val="-3.78379564949817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337105706718036"/>
                  <c:y val="-0.0082556495132255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320197044334975"/>
                  <c:y val="-0.00359776938298258"/>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147783251231527"/>
                  <c:y val="0.03237992444684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25777358959967e-17"/>
                  <c:y val="0.039575463212808"/>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640394088669951"/>
                  <c:y val="0.0251843856808779"/>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0_);\(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Sheet1!$A$2:$A$11</c:f>
              <c:strCache>
                <c:ptCount val="10"/>
                <c:pt idx="0">
                  <c:v>通识性知识与技能</c:v>
                </c:pt>
                <c:pt idx="1">
                  <c:v>专业性知识与技能</c:v>
                </c:pt>
                <c:pt idx="2">
                  <c:v>学习能力</c:v>
                </c:pt>
                <c:pt idx="3">
                  <c:v>创新能力</c:v>
                </c:pt>
                <c:pt idx="4">
                  <c:v>沟通与表达能力</c:v>
                </c:pt>
                <c:pt idx="5">
                  <c:v>组织与管理能力</c:v>
                </c:pt>
                <c:pt idx="6">
                  <c:v>执行能力</c:v>
                </c:pt>
                <c:pt idx="7">
                  <c:v>自我管理能力</c:v>
                </c:pt>
                <c:pt idx="8">
                  <c:v>职业适应能力</c:v>
                </c:pt>
                <c:pt idx="9">
                  <c:v>职业规划能力</c:v>
                </c:pt>
              </c:strCache>
            </c:strRef>
          </c:cat>
          <c:val>
            <c:numRef>
              <c:f>Sheet1!$B$2:$B$11</c:f>
              <c:numCache>
                <c:formatCode>0.00_);[Red]\(0.00\)</c:formatCode>
                <c:ptCount val="10"/>
                <c:pt idx="0">
                  <c:v>4.41</c:v>
                </c:pt>
                <c:pt idx="1">
                  <c:v>4.5</c:v>
                </c:pt>
                <c:pt idx="2">
                  <c:v>4.5</c:v>
                </c:pt>
                <c:pt idx="3">
                  <c:v>4.26</c:v>
                </c:pt>
                <c:pt idx="4">
                  <c:v>4.38</c:v>
                </c:pt>
                <c:pt idx="5">
                  <c:v>4.29</c:v>
                </c:pt>
                <c:pt idx="6">
                  <c:v>4.33</c:v>
                </c:pt>
                <c:pt idx="7">
                  <c:v>4.31</c:v>
                </c:pt>
                <c:pt idx="8">
                  <c:v>4.2</c:v>
                </c:pt>
                <c:pt idx="9">
                  <c:v>4.14</c:v>
                </c:pt>
              </c:numCache>
            </c:numRef>
          </c:val>
        </c:ser>
        <c:dLbls>
          <c:showLegendKey val="0"/>
          <c:showVal val="1"/>
          <c:showCatName val="0"/>
          <c:showSerName val="0"/>
          <c:showPercent val="0"/>
          <c:showBubbleSize val="0"/>
        </c:dLbls>
        <c:axId val="387177472"/>
        <c:axId val="396183424"/>
      </c:radarChart>
      <c:catAx>
        <c:axId val="387177472"/>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6183424"/>
        <c:crosses val="autoZero"/>
        <c:auto val="1"/>
        <c:lblAlgn val="ctr"/>
        <c:lblOffset val="100"/>
        <c:noMultiLvlLbl val="0"/>
      </c:catAx>
      <c:valAx>
        <c:axId val="39618342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_);\(#,##0.0\)" sourceLinked="0"/>
        <c:majorTickMark val="none"/>
        <c:minorTickMark val="none"/>
        <c:tickLblPos val="none"/>
        <c:spPr>
          <a:noFill/>
          <a:ln w="9525" cap="flat" cmpd="sng" algn="ctr">
            <a:noFill/>
            <a:prstDash val="solid"/>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87177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lgn="just">
        <a:defRPr lang="zh-CN"/>
      </a:pPr>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755711335456109"/>
          <c:y val="0.0251858014240174"/>
          <c:w val="0.91606940981907"/>
          <c:h val="0.862654721961763"/>
        </c:manualLayout>
      </c:layout>
      <c:barChart>
        <c:barDir val="col"/>
        <c:grouping val="clustered"/>
        <c:varyColors val="0"/>
        <c:ser>
          <c:idx val="0"/>
          <c:order val="0"/>
          <c:tx>
            <c:strRef>
              <c:f>Sheet1!$B$1</c:f>
              <c:strCache>
                <c:ptCount val="1"/>
                <c:pt idx="0">
                  <c:v/>
                </c:pt>
              </c:strCache>
            </c:strRef>
          </c:tx>
          <c:spPr>
            <a:solidFill>
              <a:schemeClr val="accent5">
                <a:alpha val="80000"/>
              </a:schemeClr>
            </a:solidFill>
            <a:ln>
              <a:noFill/>
            </a:ln>
            <a:effectLst/>
          </c:spPr>
          <c:invertIfNegative val="0"/>
          <c:dPt>
            <c:idx val="0"/>
            <c:invertIfNegative val="0"/>
            <c:bubble3D val="0"/>
            <c:spPr>
              <a:solidFill>
                <a:srgbClr val="358DA5">
                  <a:alpha val="80000"/>
                </a:srgbClr>
              </a:solidFill>
              <a:ln>
                <a:noFill/>
              </a:ln>
              <a:effectLst/>
            </c:spPr>
          </c:dPt>
          <c:dPt>
            <c:idx val="1"/>
            <c:invertIfNegative val="0"/>
            <c:bubble3D val="0"/>
            <c:spPr>
              <a:solidFill>
                <a:srgbClr val="358DA5">
                  <a:alpha val="80000"/>
                </a:srgbClr>
              </a:solidFill>
              <a:ln>
                <a:noFill/>
              </a:ln>
              <a:effectLst/>
            </c:spPr>
          </c:dPt>
          <c:dPt>
            <c:idx val="3"/>
            <c:invertIfNegative val="0"/>
            <c:bubble3D val="0"/>
            <c:spPr>
              <a:solidFill>
                <a:schemeClr val="accent5">
                  <a:lumMod val="60000"/>
                  <a:lumOff val="40000"/>
                  <a:alpha val="80000"/>
                </a:schemeClr>
              </a:solidFill>
              <a:ln>
                <a:noFill/>
              </a:ln>
              <a:effectLst/>
            </c:spPr>
          </c:dPt>
          <c:dLbls>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0"/>
                <c15:leaderLines/>
              </c:ext>
            </c:extLst>
          </c:dLbls>
          <c:cat>
            <c:strRef>
              <c:f>Sheet1!$A$2:$A$5</c:f>
              <c:strCache>
                <c:ptCount val="4"/>
                <c:pt idx="0">
                  <c:v>很满意</c:v>
                </c:pt>
                <c:pt idx="1">
                  <c:v>满意</c:v>
                </c:pt>
                <c:pt idx="2">
                  <c:v>不好说</c:v>
                </c:pt>
                <c:pt idx="3">
                  <c:v>不满意</c:v>
                </c:pt>
              </c:strCache>
            </c:strRef>
          </c:cat>
          <c:val>
            <c:numRef>
              <c:f>Sheet1!$B$2:$B$5</c:f>
              <c:numCache>
                <c:formatCode>0.0%</c:formatCode>
                <c:ptCount val="4"/>
                <c:pt idx="0">
                  <c:v>0.433300000000001</c:v>
                </c:pt>
                <c:pt idx="1">
                  <c:v>0.377800000000001</c:v>
                </c:pt>
                <c:pt idx="2">
                  <c:v>0.1667</c:v>
                </c:pt>
                <c:pt idx="3">
                  <c:v>0.0222000000000001</c:v>
                </c:pt>
              </c:numCache>
            </c:numRef>
          </c:val>
          <c:extLst>
            <c:ext xmlns:c15="http://schemas.microsoft.com/office/drawing/2012/chart" uri="{02D57815-91ED-43cb-92C2-25804820EDAC}">
              <c15:datalabelsRange>
                <c15:f>Sheet1!$C$2:$C$6</c15:f>
                <c15:dlblRangeCache>
                  <c:ptCount val="5"/>
                </c15:dlblRangeCache>
              </c15:datalabelsRange>
            </c:ext>
          </c:extLst>
        </c:ser>
        <c:dLbls>
          <c:showLegendKey val="0"/>
          <c:showVal val="0"/>
          <c:showCatName val="0"/>
          <c:showSerName val="0"/>
          <c:showPercent val="0"/>
          <c:showBubbleSize val="0"/>
        </c:dLbls>
        <c:gapWidth val="182"/>
        <c:axId val="396600448"/>
        <c:axId val="396601984"/>
      </c:barChart>
      <c:catAx>
        <c:axId val="39660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96601984"/>
        <c:crosses val="autoZero"/>
        <c:auto val="1"/>
        <c:lblAlgn val="ctr"/>
        <c:lblOffset val="100"/>
        <c:noMultiLvlLbl val="0"/>
      </c:catAx>
      <c:valAx>
        <c:axId val="396601984"/>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96600448"/>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ln>
            <a:noFill/>
          </a:ln>
        </a:defRPr>
      </a:pPr>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10734463276838"/>
          <c:y val="0.0547263681592041"/>
          <c:w val="0.953528328824055"/>
          <c:h val="0.608090748313116"/>
        </c:manualLayout>
      </c:layout>
      <c:lineChart>
        <c:grouping val="standard"/>
        <c:varyColors val="0"/>
        <c:ser>
          <c:idx val="0"/>
          <c:order val="0"/>
          <c:tx>
            <c:strRef>
              <c:f>Sheet1!$B$1</c:f>
              <c:strCache>
                <c:ptCount val="1"/>
                <c:pt idx="0">
                  <c:v/>
                </c:pt>
              </c:strCache>
            </c:strRef>
          </c:tx>
          <c:spPr>
            <a:ln w="31750" cap="rnd" cmpd="sng" algn="ctr">
              <a:solidFill>
                <a:schemeClr val="accent5"/>
              </a:solidFill>
              <a:prstDash val="solid"/>
              <a:round/>
            </a:ln>
            <a:effectLst/>
          </c:spPr>
          <c:marker>
            <c:symbol val="circle"/>
            <c:size val="17"/>
            <c:spPr>
              <a:solidFill>
                <a:schemeClr val="accent5"/>
              </a:solidFill>
              <a:ln w="9525" cap="flat" cmpd="sng" algn="ctr">
                <a:noFill/>
                <a:prstDash val="solid"/>
                <a:round/>
              </a:ln>
              <a:effectLst/>
            </c:spPr>
          </c:marker>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Sheet1!$A$2:$A$4</c:f>
              <c:strCache>
                <c:ptCount val="3"/>
                <c:pt idx="0">
                  <c:v>戏剧</c:v>
                </c:pt>
                <c:pt idx="1">
                  <c:v>戏剧与影视学</c:v>
                </c:pt>
                <c:pt idx="2">
                  <c:v>艺术学理论</c:v>
                </c:pt>
              </c:strCache>
            </c:strRef>
          </c:cat>
          <c:val>
            <c:numRef>
              <c:f>Sheet1!$B$2:$B$4</c:f>
              <c:numCache>
                <c:formatCode>0.0_);[Red]\(0.0\)</c:formatCode>
                <c:ptCount val="3"/>
                <c:pt idx="0">
                  <c:v>4.04</c:v>
                </c:pt>
                <c:pt idx="1">
                  <c:v>4.31</c:v>
                </c:pt>
                <c:pt idx="2">
                  <c:v>4.5</c:v>
                </c:pt>
              </c:numCache>
            </c:numRef>
          </c:val>
          <c:smooth val="0"/>
        </c:ser>
        <c:dLbls>
          <c:showLegendKey val="0"/>
          <c:showVal val="1"/>
          <c:showCatName val="0"/>
          <c:showSerName val="0"/>
          <c:showPercent val="0"/>
          <c:showBubbleSize val="0"/>
        </c:dLbls>
        <c:marker val="1"/>
        <c:smooth val="0"/>
        <c:axId val="396248576"/>
        <c:axId val="396267904"/>
      </c:lineChart>
      <c:catAx>
        <c:axId val="3962485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96267904"/>
        <c:crosses val="autoZero"/>
        <c:auto val="1"/>
        <c:lblAlgn val="ctr"/>
        <c:lblOffset val="100"/>
        <c:tickLblSkip val="1"/>
        <c:noMultiLvlLbl val="0"/>
      </c:catAx>
      <c:valAx>
        <c:axId val="3962679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_);[Red]\(0.0\)"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96248576"/>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10734463276838"/>
          <c:y val="0.0547263681592041"/>
          <c:w val="0.953528328824055"/>
          <c:h val="0.608090748313116"/>
        </c:manualLayout>
      </c:layout>
      <c:lineChart>
        <c:grouping val="standard"/>
        <c:varyColors val="0"/>
        <c:ser>
          <c:idx val="0"/>
          <c:order val="0"/>
          <c:tx>
            <c:strRef>
              <c:f>Sheet1!$B$1</c:f>
              <c:strCache>
                <c:ptCount val="1"/>
                <c:pt idx="0">
                  <c:v/>
                </c:pt>
              </c:strCache>
            </c:strRef>
          </c:tx>
          <c:spPr>
            <a:ln w="31750" cap="rnd" cmpd="sng" algn="ctr">
              <a:solidFill>
                <a:schemeClr val="accent5"/>
              </a:solidFill>
              <a:prstDash val="solid"/>
              <a:round/>
            </a:ln>
            <a:effectLst/>
          </c:spPr>
          <c:marker>
            <c:symbol val="circle"/>
            <c:size val="17"/>
            <c:spPr>
              <a:solidFill>
                <a:schemeClr val="accent5"/>
              </a:solidFill>
              <a:ln w="9525" cap="flat" cmpd="sng" algn="ctr">
                <a:noFill/>
                <a:prstDash val="solid"/>
                <a:round/>
              </a:ln>
              <a:effectLst/>
            </c:spPr>
          </c:marker>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Sheet1!$A$2:$A$3</c:f>
              <c:strCache>
                <c:ptCount val="2"/>
                <c:pt idx="0">
                  <c:v>戏剧与影视学</c:v>
                </c:pt>
                <c:pt idx="1">
                  <c:v>艺术学理论</c:v>
                </c:pt>
              </c:strCache>
            </c:strRef>
          </c:cat>
          <c:val>
            <c:numRef>
              <c:f>Sheet1!$B$2:$B$3</c:f>
              <c:numCache>
                <c:formatCode>0.0_);[Red]\(0.0\)</c:formatCode>
                <c:ptCount val="2"/>
                <c:pt idx="0">
                  <c:v>4.15</c:v>
                </c:pt>
                <c:pt idx="1">
                  <c:v>4.17</c:v>
                </c:pt>
              </c:numCache>
            </c:numRef>
          </c:val>
          <c:smooth val="0"/>
        </c:ser>
        <c:dLbls>
          <c:showLegendKey val="0"/>
          <c:showVal val="1"/>
          <c:showCatName val="0"/>
          <c:showSerName val="0"/>
          <c:showPercent val="0"/>
          <c:showBubbleSize val="0"/>
        </c:dLbls>
        <c:marker val="1"/>
        <c:smooth val="0"/>
        <c:axId val="396491776"/>
        <c:axId val="396777344"/>
      </c:lineChart>
      <c:catAx>
        <c:axId val="3964917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96777344"/>
        <c:crosses val="autoZero"/>
        <c:auto val="1"/>
        <c:lblAlgn val="ctr"/>
        <c:lblOffset val="100"/>
        <c:tickLblSkip val="1"/>
        <c:noMultiLvlLbl val="0"/>
      </c:catAx>
      <c:valAx>
        <c:axId val="3967773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_);[Red]\(0.0\)"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96491776"/>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755711335456109"/>
          <c:y val="0.0251858014240174"/>
          <c:w val="0.91606940981907"/>
          <c:h val="0.862654721961763"/>
        </c:manualLayout>
      </c:layout>
      <c:barChart>
        <c:barDir val="col"/>
        <c:grouping val="clustered"/>
        <c:varyColors val="0"/>
        <c:ser>
          <c:idx val="0"/>
          <c:order val="0"/>
          <c:tx>
            <c:strRef>
              <c:f>Sheet1!$B$1</c:f>
              <c:strCache>
                <c:ptCount val="1"/>
                <c:pt idx="0">
                  <c:v/>
                </c:pt>
              </c:strCache>
            </c:strRef>
          </c:tx>
          <c:spPr>
            <a:solidFill>
              <a:schemeClr val="accent5">
                <a:alpha val="80000"/>
              </a:schemeClr>
            </a:solidFill>
            <a:ln>
              <a:noFill/>
            </a:ln>
            <a:effectLst/>
          </c:spPr>
          <c:invertIfNegative val="0"/>
          <c:dPt>
            <c:idx val="0"/>
            <c:invertIfNegative val="0"/>
            <c:bubble3D val="0"/>
            <c:spPr>
              <a:solidFill>
                <a:srgbClr val="358DA5">
                  <a:alpha val="80000"/>
                </a:srgbClr>
              </a:solidFill>
              <a:ln>
                <a:noFill/>
              </a:ln>
              <a:effectLst/>
            </c:spPr>
          </c:dPt>
          <c:dPt>
            <c:idx val="1"/>
            <c:invertIfNegative val="0"/>
            <c:bubble3D val="0"/>
            <c:spPr>
              <a:solidFill>
                <a:srgbClr val="358DA5">
                  <a:alpha val="80000"/>
                </a:srgbClr>
              </a:solidFill>
              <a:ln>
                <a:noFill/>
              </a:ln>
              <a:effectLst/>
            </c:spPr>
          </c:dPt>
          <c:dPt>
            <c:idx val="3"/>
            <c:invertIfNegative val="0"/>
            <c:bubble3D val="0"/>
            <c:spPr>
              <a:solidFill>
                <a:schemeClr val="accent5">
                  <a:lumMod val="60000"/>
                  <a:lumOff val="40000"/>
                  <a:alpha val="80000"/>
                </a:schemeClr>
              </a:solidFill>
              <a:ln>
                <a:noFill/>
              </a:ln>
              <a:effectLst/>
            </c:spPr>
          </c:dPt>
          <c:dLbls>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0"/>
                <c15:leaderLines/>
              </c:ext>
            </c:extLst>
          </c:dLbls>
          <c:cat>
            <c:strRef>
              <c:f>Sheet1!$A$2:$A$5</c:f>
              <c:strCache>
                <c:ptCount val="4"/>
                <c:pt idx="0">
                  <c:v>很满意</c:v>
                </c:pt>
                <c:pt idx="1">
                  <c:v>满意</c:v>
                </c:pt>
                <c:pt idx="2">
                  <c:v>不好说</c:v>
                </c:pt>
                <c:pt idx="3">
                  <c:v>不满意</c:v>
                </c:pt>
              </c:strCache>
            </c:strRef>
          </c:cat>
          <c:val>
            <c:numRef>
              <c:f>Sheet1!$B$2:$B$5</c:f>
              <c:numCache>
                <c:formatCode>0.0%</c:formatCode>
                <c:ptCount val="4"/>
                <c:pt idx="0">
                  <c:v>0.766700000000003</c:v>
                </c:pt>
                <c:pt idx="1">
                  <c:v>0.1778</c:v>
                </c:pt>
                <c:pt idx="2">
                  <c:v>0.0333</c:v>
                </c:pt>
                <c:pt idx="3">
                  <c:v>0.0222000000000001</c:v>
                </c:pt>
              </c:numCache>
            </c:numRef>
          </c:val>
          <c:extLst>
            <c:ext xmlns:c15="http://schemas.microsoft.com/office/drawing/2012/chart" uri="{02D57815-91ED-43cb-92C2-25804820EDAC}">
              <c15:datalabelsRange>
                <c15:f>Sheet1!$C$2:$C$6</c15:f>
                <c15:dlblRangeCache>
                  <c:ptCount val="5"/>
                </c15:dlblRangeCache>
              </c15:datalabelsRange>
            </c:ext>
          </c:extLst>
        </c:ser>
        <c:dLbls>
          <c:showLegendKey val="0"/>
          <c:showVal val="0"/>
          <c:showCatName val="0"/>
          <c:showSerName val="0"/>
          <c:showPercent val="0"/>
          <c:showBubbleSize val="0"/>
        </c:dLbls>
        <c:gapWidth val="182"/>
        <c:axId val="396640640"/>
        <c:axId val="396642176"/>
      </c:barChart>
      <c:catAx>
        <c:axId val="39664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96642176"/>
        <c:crosses val="autoZero"/>
        <c:auto val="1"/>
        <c:lblAlgn val="ctr"/>
        <c:lblOffset val="100"/>
        <c:noMultiLvlLbl val="0"/>
      </c:catAx>
      <c:valAx>
        <c:axId val="396642176"/>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96640640"/>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ln>
            <a:noFill/>
          </a:ln>
        </a:defRPr>
      </a:pPr>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10734463276838"/>
          <c:y val="0.0547263681592041"/>
          <c:w val="0.953528328824055"/>
          <c:h val="0.608090748313116"/>
        </c:manualLayout>
      </c:layout>
      <c:lineChart>
        <c:grouping val="standard"/>
        <c:varyColors val="0"/>
        <c:ser>
          <c:idx val="0"/>
          <c:order val="0"/>
          <c:tx>
            <c:strRef>
              <c:f>Sheet1!$B$1</c:f>
              <c:strCache>
                <c:ptCount val="1"/>
                <c:pt idx="0">
                  <c:v/>
                </c:pt>
              </c:strCache>
            </c:strRef>
          </c:tx>
          <c:spPr>
            <a:ln w="31750" cap="rnd" cmpd="sng" algn="ctr">
              <a:solidFill>
                <a:schemeClr val="accent5"/>
              </a:solidFill>
              <a:prstDash val="solid"/>
              <a:round/>
            </a:ln>
            <a:effectLst/>
          </c:spPr>
          <c:marker>
            <c:symbol val="circle"/>
            <c:size val="17"/>
            <c:spPr>
              <a:solidFill>
                <a:schemeClr val="accent5"/>
              </a:solidFill>
              <a:ln w="9525" cap="flat" cmpd="sng" algn="ctr">
                <a:noFill/>
                <a:prstDash val="solid"/>
                <a:round/>
              </a:ln>
              <a:effectLst/>
            </c:spPr>
          </c:marker>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Sheet1!$A$2:$A$4</c:f>
              <c:strCache>
                <c:ptCount val="3"/>
                <c:pt idx="0">
                  <c:v>戏剧</c:v>
                </c:pt>
                <c:pt idx="1">
                  <c:v>戏剧与影视学</c:v>
                </c:pt>
                <c:pt idx="2">
                  <c:v>艺术学理论</c:v>
                </c:pt>
              </c:strCache>
            </c:strRef>
          </c:cat>
          <c:val>
            <c:numRef>
              <c:f>Sheet1!$B$2:$B$4</c:f>
              <c:numCache>
                <c:formatCode>0.0_);[Red]\(0.0\)</c:formatCode>
                <c:ptCount val="3"/>
                <c:pt idx="0">
                  <c:v>4.5</c:v>
                </c:pt>
                <c:pt idx="1">
                  <c:v>4.8</c:v>
                </c:pt>
                <c:pt idx="2">
                  <c:v>4.6</c:v>
                </c:pt>
              </c:numCache>
            </c:numRef>
          </c:val>
          <c:smooth val="0"/>
        </c:ser>
        <c:dLbls>
          <c:showLegendKey val="0"/>
          <c:showVal val="1"/>
          <c:showCatName val="0"/>
          <c:showSerName val="0"/>
          <c:showPercent val="0"/>
          <c:showBubbleSize val="0"/>
        </c:dLbls>
        <c:marker val="1"/>
        <c:smooth val="0"/>
        <c:axId val="396706560"/>
        <c:axId val="396709248"/>
      </c:lineChart>
      <c:catAx>
        <c:axId val="3967065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96709248"/>
        <c:crosses val="autoZero"/>
        <c:auto val="1"/>
        <c:lblAlgn val="ctr"/>
        <c:lblOffset val="100"/>
        <c:tickLblSkip val="1"/>
        <c:noMultiLvlLbl val="0"/>
      </c:catAx>
      <c:valAx>
        <c:axId val="3967092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_);[Red]\(0.0\)"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96706560"/>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755711335456109"/>
          <c:y val="0.0251858014240174"/>
          <c:w val="0.91606940981907"/>
          <c:h val="0.862654721961763"/>
        </c:manualLayout>
      </c:layout>
      <c:barChart>
        <c:barDir val="col"/>
        <c:grouping val="clustered"/>
        <c:varyColors val="0"/>
        <c:ser>
          <c:idx val="0"/>
          <c:order val="0"/>
          <c:tx>
            <c:strRef>
              <c:f>Sheet1!$B$1</c:f>
              <c:strCache>
                <c:ptCount val="1"/>
                <c:pt idx="0">
                  <c:v/>
                </c:pt>
              </c:strCache>
            </c:strRef>
          </c:tx>
          <c:spPr>
            <a:solidFill>
              <a:schemeClr val="accent5">
                <a:alpha val="80000"/>
              </a:schemeClr>
            </a:solidFill>
            <a:ln>
              <a:noFill/>
            </a:ln>
            <a:effectLst/>
          </c:spPr>
          <c:invertIfNegative val="0"/>
          <c:dPt>
            <c:idx val="0"/>
            <c:invertIfNegative val="0"/>
            <c:bubble3D val="0"/>
            <c:spPr>
              <a:solidFill>
                <a:srgbClr val="358DA5">
                  <a:alpha val="80000"/>
                </a:srgbClr>
              </a:solidFill>
              <a:ln>
                <a:noFill/>
              </a:ln>
              <a:effectLst/>
            </c:spPr>
          </c:dPt>
          <c:dPt>
            <c:idx val="1"/>
            <c:invertIfNegative val="0"/>
            <c:bubble3D val="0"/>
            <c:spPr>
              <a:solidFill>
                <a:srgbClr val="358DA5">
                  <a:alpha val="80000"/>
                </a:srgbClr>
              </a:solidFill>
              <a:ln>
                <a:noFill/>
              </a:ln>
              <a:effectLst/>
            </c:spPr>
          </c:dPt>
          <c:dPt>
            <c:idx val="3"/>
            <c:invertIfNegative val="0"/>
            <c:bubble3D val="0"/>
            <c:spPr>
              <a:solidFill>
                <a:schemeClr val="accent5">
                  <a:lumMod val="60000"/>
                  <a:lumOff val="40000"/>
                  <a:alpha val="80000"/>
                </a:schemeClr>
              </a:solidFill>
              <a:ln>
                <a:noFill/>
              </a:ln>
              <a:effectLst/>
            </c:spPr>
          </c:dPt>
          <c:dPt>
            <c:idx val="4"/>
            <c:invertIfNegative val="0"/>
            <c:bubble3D val="0"/>
            <c:spPr>
              <a:solidFill>
                <a:schemeClr val="accent5">
                  <a:lumMod val="60000"/>
                  <a:lumOff val="40000"/>
                  <a:alpha val="80000"/>
                </a:schemeClr>
              </a:solidFill>
              <a:ln>
                <a:noFill/>
              </a:ln>
              <a:effectLst/>
            </c:spPr>
          </c:dPt>
          <c:dLbls>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0"/>
                <c15:leaderLines/>
              </c:ext>
            </c:extLst>
          </c:dLbls>
          <c:cat>
            <c:strRef>
              <c:f>Sheet1!$A$2:$A$6</c:f>
              <c:strCache>
                <c:ptCount val="5"/>
                <c:pt idx="0">
                  <c:v>很喜欢</c:v>
                </c:pt>
                <c:pt idx="1">
                  <c:v>喜欢</c:v>
                </c:pt>
                <c:pt idx="2">
                  <c:v>不好说</c:v>
                </c:pt>
                <c:pt idx="3">
                  <c:v>不喜欢</c:v>
                </c:pt>
                <c:pt idx="4">
                  <c:v>很不喜欢</c:v>
                </c:pt>
              </c:strCache>
            </c:strRef>
          </c:cat>
          <c:val>
            <c:numRef>
              <c:f>Sheet1!$B$2:$B$6</c:f>
              <c:numCache>
                <c:formatCode>0.0%</c:formatCode>
                <c:ptCount val="5"/>
                <c:pt idx="0">
                  <c:v>0.4489</c:v>
                </c:pt>
                <c:pt idx="1">
                  <c:v>0.4197</c:v>
                </c:pt>
                <c:pt idx="2">
                  <c:v>0.1095</c:v>
                </c:pt>
                <c:pt idx="3">
                  <c:v>0.0182000000000001</c:v>
                </c:pt>
                <c:pt idx="4">
                  <c:v>0.00360000000000001</c:v>
                </c:pt>
              </c:numCache>
            </c:numRef>
          </c:val>
          <c:extLst>
            <c:ext xmlns:c15="http://schemas.microsoft.com/office/drawing/2012/chart" uri="{02D57815-91ED-43cb-92C2-25804820EDAC}">
              <c15:datalabelsRange>
                <c15:f>Sheet1!$C$2:$C$6</c15:f>
                <c15:dlblRangeCache>
                  <c:ptCount val="5"/>
                </c15:dlblRangeCache>
              </c15:datalabelsRange>
            </c:ext>
          </c:extLst>
        </c:ser>
        <c:dLbls>
          <c:showLegendKey val="0"/>
          <c:showVal val="0"/>
          <c:showCatName val="0"/>
          <c:showSerName val="0"/>
          <c:showPercent val="0"/>
          <c:showBubbleSize val="0"/>
        </c:dLbls>
        <c:gapWidth val="182"/>
        <c:axId val="319483264"/>
        <c:axId val="319485056"/>
      </c:barChart>
      <c:catAx>
        <c:axId val="31948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19485056"/>
        <c:crosses val="autoZero"/>
        <c:auto val="1"/>
        <c:lblAlgn val="ctr"/>
        <c:lblOffset val="100"/>
        <c:noMultiLvlLbl val="0"/>
      </c:catAx>
      <c:valAx>
        <c:axId val="319485056"/>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19483264"/>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ln>
            <a:noFill/>
          </a:ln>
        </a:defRPr>
      </a:pPr>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10734463276838"/>
          <c:y val="0.0547263681592041"/>
          <c:w val="0.953528328824055"/>
          <c:h val="0.608090748313116"/>
        </c:manualLayout>
      </c:layout>
      <c:lineChart>
        <c:grouping val="standard"/>
        <c:varyColors val="0"/>
        <c:ser>
          <c:idx val="0"/>
          <c:order val="0"/>
          <c:tx>
            <c:strRef>
              <c:f>Sheet1!$B$1</c:f>
              <c:strCache>
                <c:ptCount val="1"/>
                <c:pt idx="0">
                  <c:v/>
                </c:pt>
              </c:strCache>
            </c:strRef>
          </c:tx>
          <c:spPr>
            <a:ln w="31750" cap="rnd" cmpd="sng" algn="ctr">
              <a:solidFill>
                <a:schemeClr val="accent5"/>
              </a:solidFill>
              <a:prstDash val="solid"/>
              <a:round/>
            </a:ln>
            <a:effectLst/>
          </c:spPr>
          <c:marker>
            <c:symbol val="circle"/>
            <c:size val="17"/>
            <c:spPr>
              <a:solidFill>
                <a:schemeClr val="accent5"/>
              </a:solidFill>
              <a:ln w="9525" cap="flat" cmpd="sng" algn="ctr">
                <a:noFill/>
                <a:prstDash val="solid"/>
                <a:round/>
              </a:ln>
              <a:effectLst/>
            </c:spPr>
          </c:marker>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Sheet1!$A$2:$A$3</c:f>
              <c:strCache>
                <c:ptCount val="2"/>
                <c:pt idx="0">
                  <c:v>戏剧与影视学</c:v>
                </c:pt>
                <c:pt idx="1">
                  <c:v>艺术学理论</c:v>
                </c:pt>
              </c:strCache>
            </c:strRef>
          </c:cat>
          <c:val>
            <c:numRef>
              <c:f>Sheet1!$B$2:$B$3</c:f>
              <c:numCache>
                <c:formatCode>0.0_);[Red]\(0.0\)</c:formatCode>
                <c:ptCount val="2"/>
                <c:pt idx="0">
                  <c:v>4.77</c:v>
                </c:pt>
                <c:pt idx="1">
                  <c:v>4.83</c:v>
                </c:pt>
              </c:numCache>
            </c:numRef>
          </c:val>
          <c:smooth val="0"/>
        </c:ser>
        <c:dLbls>
          <c:showLegendKey val="0"/>
          <c:showVal val="1"/>
          <c:showCatName val="0"/>
          <c:showSerName val="0"/>
          <c:showPercent val="0"/>
          <c:showBubbleSize val="0"/>
        </c:dLbls>
        <c:marker val="1"/>
        <c:smooth val="0"/>
        <c:axId val="396273920"/>
        <c:axId val="396661888"/>
      </c:lineChart>
      <c:catAx>
        <c:axId val="3962739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96661888"/>
        <c:crosses val="autoZero"/>
        <c:auto val="1"/>
        <c:lblAlgn val="ctr"/>
        <c:lblOffset val="100"/>
        <c:tickLblSkip val="1"/>
        <c:noMultiLvlLbl val="0"/>
      </c:catAx>
      <c:valAx>
        <c:axId val="3966618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_);[Red]\(0.0\)"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96273920"/>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576446345224"/>
          <c:y val="0.130262958703196"/>
          <c:w val="0.65122027259284"/>
          <c:h val="0.720732548880828"/>
        </c:manualLayout>
      </c:layout>
      <c:radarChart>
        <c:radarStyle val="filled"/>
        <c:varyColors val="0"/>
        <c:ser>
          <c:idx val="0"/>
          <c:order val="0"/>
          <c:tx>
            <c:strRef>
              <c:f>Sheet1!$B$1</c:f>
              <c:strCache>
                <c:ptCount val="1"/>
                <c:pt idx="0">
                  <c:v/>
                </c:pt>
              </c:strCache>
            </c:strRef>
          </c:tx>
          <c:spPr>
            <a:solidFill>
              <a:schemeClr val="accent5">
                <a:alpha val="50196"/>
              </a:schemeClr>
            </a:solidFill>
            <a:ln w="25400">
              <a:solidFill>
                <a:schemeClr val="accent5"/>
              </a:solidFill>
              <a:prstDash val="sysDot"/>
            </a:ln>
            <a:effectLst/>
          </c:spPr>
          <c:dLbls>
            <c:dLbl>
              <c:idx val="1"/>
              <c:layout>
                <c:manualLayout>
                  <c:x val="-0.0264868769564171"/>
                  <c:y val="0.00412782475661271"/>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320197044334975"/>
                  <c:y val="-0.00359776938298258"/>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388572154461912"/>
                  <c:y val="0.0777860948210106"/>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0_);\(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参与国家或省部级科研课题</c:v>
                </c:pt>
                <c:pt idx="1">
                  <c:v>公开发表学术论文等</c:v>
                </c:pt>
                <c:pt idx="2">
                  <c:v>参加国内外学术会议并发布论文 </c:v>
                </c:pt>
                <c:pt idx="3">
                  <c:v>参加学科竞赛</c:v>
                </c:pt>
                <c:pt idx="4">
                  <c:v>出国访学（国外联合培养、公派出国）</c:v>
                </c:pt>
                <c:pt idx="5">
                  <c:v>科学道德和学术规范培训 </c:v>
                </c:pt>
                <c:pt idx="6">
                  <c:v>获得专利</c:v>
                </c:pt>
                <c:pt idx="7">
                  <c:v>其他</c:v>
                </c:pt>
              </c:strCache>
            </c:strRef>
          </c:cat>
          <c:val>
            <c:numRef>
              <c:f>Sheet1!$B$2:$B$9</c:f>
              <c:numCache>
                <c:formatCode>0.00_);[Red]\(0.00\)</c:formatCode>
                <c:ptCount val="8"/>
                <c:pt idx="0">
                  <c:v>1.52</c:v>
                </c:pt>
                <c:pt idx="1">
                  <c:v>1.71</c:v>
                </c:pt>
                <c:pt idx="2">
                  <c:v>1.5</c:v>
                </c:pt>
                <c:pt idx="3">
                  <c:v>0.58</c:v>
                </c:pt>
                <c:pt idx="4">
                  <c:v>0.58</c:v>
                </c:pt>
                <c:pt idx="5">
                  <c:v>1.06</c:v>
                </c:pt>
                <c:pt idx="6">
                  <c:v>0.04</c:v>
                </c:pt>
                <c:pt idx="7">
                  <c:v>1.99</c:v>
                </c:pt>
              </c:numCache>
            </c:numRef>
          </c:val>
        </c:ser>
        <c:dLbls>
          <c:showLegendKey val="0"/>
          <c:showVal val="1"/>
          <c:showCatName val="0"/>
          <c:showSerName val="0"/>
          <c:showPercent val="0"/>
          <c:showBubbleSize val="0"/>
        </c:dLbls>
        <c:axId val="396903936"/>
        <c:axId val="396910976"/>
      </c:radarChart>
      <c:catAx>
        <c:axId val="396903936"/>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6910976"/>
        <c:crosses val="autoZero"/>
        <c:auto val="1"/>
        <c:lblAlgn val="ctr"/>
        <c:lblOffset val="100"/>
        <c:noMultiLvlLbl val="0"/>
      </c:catAx>
      <c:valAx>
        <c:axId val="39691097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_);\(#,##0.0\)" sourceLinked="0"/>
        <c:majorTickMark val="none"/>
        <c:minorTickMark val="none"/>
        <c:tickLblPos val="none"/>
        <c:spPr>
          <a:noFill/>
          <a:ln w="9525" cap="flat" cmpd="sng" algn="ctr">
            <a:noFill/>
            <a:prstDash val="solid"/>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6903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lgn="just">
        <a:defRPr lang="zh-CN"/>
      </a:pPr>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576446345224"/>
          <c:y val="0.130262958703196"/>
          <c:w val="0.65122027259284"/>
          <c:h val="0.720732548880828"/>
        </c:manualLayout>
      </c:layout>
      <c:radarChart>
        <c:radarStyle val="filled"/>
        <c:varyColors val="0"/>
        <c:ser>
          <c:idx val="0"/>
          <c:order val="0"/>
          <c:tx>
            <c:strRef>
              <c:f>Sheet1!$B$1</c:f>
              <c:strCache>
                <c:ptCount val="1"/>
                <c:pt idx="0">
                  <c:v/>
                </c:pt>
              </c:strCache>
            </c:strRef>
          </c:tx>
          <c:spPr>
            <a:solidFill>
              <a:schemeClr val="accent5">
                <a:alpha val="50196"/>
              </a:schemeClr>
            </a:solidFill>
            <a:ln w="25400">
              <a:solidFill>
                <a:schemeClr val="accent5"/>
              </a:solidFill>
              <a:prstDash val="sysDot"/>
            </a:ln>
            <a:effectLst/>
          </c:spPr>
          <c:dLbls>
            <c:dLbl>
              <c:idx val="2"/>
              <c:layout>
                <c:manualLayout>
                  <c:x val="-0.0553816518179629"/>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127565501458959"/>
                  <c:y val="-0.00359770804968081"/>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147783251231527"/>
                  <c:y val="0.03237992444684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25777358959967e-17"/>
                  <c:y val="0.039575463212808"/>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640394088669951"/>
                  <c:y val="0.0251843856808779"/>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0_);\(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Sheet1!$A$2:$A$12</c:f>
              <c:strCache>
                <c:ptCount val="11"/>
                <c:pt idx="0">
                  <c:v>学科发展水平</c:v>
                </c:pt>
                <c:pt idx="1">
                  <c:v>学科管理水平</c:v>
                </c:pt>
                <c:pt idx="2">
                  <c:v>导师指导</c:v>
                </c:pt>
                <c:pt idx="3">
                  <c:v>理论课程学习</c:v>
                </c:pt>
                <c:pt idx="4">
                  <c:v>学位论文研究</c:v>
                </c:pt>
                <c:pt idx="5">
                  <c:v>研究训练</c:v>
                </c:pt>
                <c:pt idx="6">
                  <c:v>学术交流活动</c:v>
                </c:pt>
                <c:pt idx="7">
                  <c:v>社会实践活动</c:v>
                </c:pt>
                <c:pt idx="8">
                  <c:v>学术氛围</c:v>
                </c:pt>
                <c:pt idx="9">
                  <c:v>科研经费</c:v>
                </c:pt>
                <c:pt idx="10">
                  <c:v>奖助学金</c:v>
                </c:pt>
              </c:strCache>
            </c:strRef>
          </c:cat>
          <c:val>
            <c:numRef>
              <c:f>Sheet1!$B$2:$B$12</c:f>
              <c:numCache>
                <c:formatCode>0.00_);[Red]\(0.00\)</c:formatCode>
                <c:ptCount val="11"/>
                <c:pt idx="0">
                  <c:v>1.79</c:v>
                </c:pt>
                <c:pt idx="1">
                  <c:v>0.57</c:v>
                </c:pt>
                <c:pt idx="2">
                  <c:v>2.47</c:v>
                </c:pt>
                <c:pt idx="3">
                  <c:v>0.690000000000001</c:v>
                </c:pt>
                <c:pt idx="4">
                  <c:v>0.44</c:v>
                </c:pt>
                <c:pt idx="5">
                  <c:v>0.54</c:v>
                </c:pt>
                <c:pt idx="6">
                  <c:v>0.630000000000002</c:v>
                </c:pt>
                <c:pt idx="7">
                  <c:v>1.16</c:v>
                </c:pt>
                <c:pt idx="8">
                  <c:v>0.390000000000001</c:v>
                </c:pt>
                <c:pt idx="9">
                  <c:v>0.19</c:v>
                </c:pt>
                <c:pt idx="10" c:formatCode="General">
                  <c:v>0.13</c:v>
                </c:pt>
              </c:numCache>
            </c:numRef>
          </c:val>
        </c:ser>
        <c:dLbls>
          <c:showLegendKey val="0"/>
          <c:showVal val="1"/>
          <c:showCatName val="0"/>
          <c:showSerName val="0"/>
          <c:showPercent val="0"/>
          <c:showBubbleSize val="0"/>
        </c:dLbls>
        <c:axId val="396952320"/>
        <c:axId val="396955008"/>
      </c:radarChart>
      <c:catAx>
        <c:axId val="396952320"/>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6955008"/>
        <c:crosses val="autoZero"/>
        <c:auto val="1"/>
        <c:lblAlgn val="ctr"/>
        <c:lblOffset val="100"/>
        <c:noMultiLvlLbl val="0"/>
      </c:catAx>
      <c:valAx>
        <c:axId val="39695500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_);\(#,##0.0\)" sourceLinked="0"/>
        <c:majorTickMark val="none"/>
        <c:minorTickMark val="none"/>
        <c:tickLblPos val="none"/>
        <c:spPr>
          <a:noFill/>
          <a:ln w="9525" cap="flat" cmpd="sng" algn="ctr">
            <a:noFill/>
            <a:prstDash val="solid"/>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6952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lgn="just">
        <a:defRPr lang="zh-CN"/>
      </a:pPr>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1926640641147"/>
          <c:y val="0.0264005905511812"/>
          <c:w val="0.668073359358857"/>
          <c:h val="0.871111423572054"/>
        </c:manualLayout>
      </c:layout>
      <c:barChart>
        <c:barDir val="bar"/>
        <c:grouping val="clustered"/>
        <c:varyColors val="0"/>
        <c:ser>
          <c:idx val="0"/>
          <c:order val="0"/>
          <c:tx>
            <c:strRef>
              <c:f>Sheet1!$B$1</c:f>
              <c:strCache>
                <c:ptCount val="1"/>
                <c:pt idx="0">
                  <c:v>参与度</c:v>
                </c:pt>
              </c:strCache>
            </c:strRef>
          </c:tx>
          <c:spPr>
            <a:solidFill>
              <a:srgbClr val="358DA5"/>
            </a:solidFill>
            <a:ln>
              <a:solidFill>
                <a:srgbClr val="358DA5"/>
              </a:solidFill>
            </a:ln>
            <a:effectLst/>
          </c:spPr>
          <c:invertIfNegative val="0"/>
          <c:dLbls>
            <c:dLbl>
              <c:idx val="3"/>
              <c:layout>
                <c:manualLayout>
                  <c:x val="-0.00722369371538646"/>
                  <c:y val="0.00412796697626418"/>
                </c:manualLayout>
              </c:layout>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4"/>
              <c:layout>
                <c:manualLayout>
                  <c:x val="-0.0216710811461595"/>
                  <c:y val="3.78379564949817e-17"/>
                </c:manualLayout>
              </c:layout>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5"/>
              <c:layout>
                <c:manualLayout>
                  <c:x val="-0.0288947748615459"/>
                  <c:y val="0"/>
                </c:manualLayout>
              </c:layout>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6"/>
              <c:layout>
                <c:manualLayout>
                  <c:x val="-0.0288947748615459"/>
                  <c:y val="0"/>
                </c:manualLayout>
              </c:layout>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7"/>
              <c:layout>
                <c:manualLayout>
                  <c:x val="-0.0337105706718036"/>
                  <c:y val="0"/>
                </c:manualLayout>
              </c:layout>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9"/>
              <c:layout>
                <c:manualLayout>
                  <c:x val="-0.0288947748615459"/>
                  <c:y val="0"/>
                </c:manualLayout>
              </c:layout>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10"/>
              <c:layout>
                <c:manualLayout>
                  <c:x val="-0.0264868769564171"/>
                  <c:y val="0"/>
                </c:manualLayout>
              </c:layout>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11"/>
              <c:layout>
                <c:manualLayout>
                  <c:x val="-0.0264868769564171"/>
                  <c:y val="0"/>
                </c:manualLayout>
              </c:layout>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numFmt formatCode="##0.00%;##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prstDash val="solid"/>
                      <a:round/>
                    </a:ln>
                    <a:effectLst/>
                  </c:spPr>
                </c15:leaderLines>
              </c:ext>
            </c:extLst>
          </c:dLbls>
          <c:cat>
            <c:strRef>
              <c:f>Sheet1!$A$2:$A$13</c:f>
              <c:strCache>
                <c:ptCount val="12"/>
                <c:pt idx="0">
                  <c:v>职业测评</c:v>
                </c:pt>
                <c:pt idx="1">
                  <c:v>困难帮扶</c:v>
                </c:pt>
                <c:pt idx="2">
                  <c:v>团体职业辅导</c:v>
                </c:pt>
                <c:pt idx="3">
                  <c:v>学院就业推荐</c:v>
                </c:pt>
                <c:pt idx="4">
                  <c:v>就业指导讲座、工作坊与活动</c:v>
                </c:pt>
                <c:pt idx="5">
                  <c:v>就业信息服务</c:v>
                </c:pt>
                <c:pt idx="6">
                  <c:v>学校就业推荐</c:v>
                </c:pt>
                <c:pt idx="7">
                  <c:v>就业指导课程</c:v>
                </c:pt>
                <c:pt idx="8">
                  <c:v>个体职业辅导</c:v>
                </c:pt>
                <c:pt idx="9">
                  <c:v>就业相关政策咨询</c:v>
                </c:pt>
                <c:pt idx="10">
                  <c:v>就业实习/实践</c:v>
                </c:pt>
                <c:pt idx="11">
                  <c:v>校园招聘会/宣讲会</c:v>
                </c:pt>
              </c:strCache>
            </c:strRef>
          </c:cat>
          <c:val>
            <c:numRef>
              <c:f>Sheet1!$B$2:$B$13</c:f>
              <c:numCache>
                <c:formatCode>General</c:formatCode>
                <c:ptCount val="12"/>
                <c:pt idx="0">
                  <c:v>-0.2</c:v>
                </c:pt>
                <c:pt idx="1">
                  <c:v>-0.188888888888889</c:v>
                </c:pt>
                <c:pt idx="2">
                  <c:v>-0.311111111111111</c:v>
                </c:pt>
                <c:pt idx="3">
                  <c:v>-0.466666666666668</c:v>
                </c:pt>
                <c:pt idx="4">
                  <c:v>-0.577777777777778</c:v>
                </c:pt>
                <c:pt idx="5">
                  <c:v>-0.722222222222222</c:v>
                </c:pt>
                <c:pt idx="6">
                  <c:v>-0.533333333333333</c:v>
                </c:pt>
                <c:pt idx="7">
                  <c:v>-0.700000000000001</c:v>
                </c:pt>
                <c:pt idx="8">
                  <c:v>-0.255555555555556</c:v>
                </c:pt>
                <c:pt idx="9">
                  <c:v>-0.577777777777778</c:v>
                </c:pt>
                <c:pt idx="10">
                  <c:v>-0.633333333333334</c:v>
                </c:pt>
                <c:pt idx="11">
                  <c:v>-0.588888888888889</c:v>
                </c:pt>
              </c:numCache>
            </c:numRef>
          </c:val>
          <c:extLst>
            <c:ext xmlns:c15="http://schemas.microsoft.com/office/drawing/2012/chart" uri="{02D57815-91ED-43cb-92C2-25804820EDAC}">
              <c15:datalabelsRange>
                <c15:f>Sheet1!$D$2:$D$13</c15:f>
                <c15:dlblRangeCache>
                  <c:ptCount val="12"/>
                </c15:dlblRangeCache>
              </c15:datalabelsRange>
            </c:ext>
          </c:extLst>
        </c:ser>
        <c:ser>
          <c:idx val="1"/>
          <c:order val="1"/>
          <c:tx>
            <c:strRef>
              <c:f>Sheet1!$C$1</c:f>
              <c:strCache>
                <c:ptCount val="1"/>
                <c:pt idx="0">
                  <c:v>满意度</c:v>
                </c:pt>
              </c:strCache>
            </c:strRef>
          </c:tx>
          <c:spPr>
            <a:solidFill>
              <a:schemeClr val="accent3"/>
            </a:solidFill>
            <a:ln>
              <a:noFill/>
            </a:ln>
            <a:effectLst/>
          </c:spPr>
          <c:invertIfNegative val="0"/>
          <c:dLbls>
            <c:numFmt formatCode="#,##0.00;#,##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Sheet1!$A$2:$A$13</c:f>
              <c:strCache>
                <c:ptCount val="12"/>
                <c:pt idx="0">
                  <c:v>职业测评</c:v>
                </c:pt>
                <c:pt idx="1">
                  <c:v>困难帮扶</c:v>
                </c:pt>
                <c:pt idx="2">
                  <c:v>团体职业辅导</c:v>
                </c:pt>
                <c:pt idx="3">
                  <c:v>学院就业推荐</c:v>
                </c:pt>
                <c:pt idx="4">
                  <c:v>就业指导讲座、工作坊与活动</c:v>
                </c:pt>
                <c:pt idx="5">
                  <c:v>就业信息服务</c:v>
                </c:pt>
                <c:pt idx="6">
                  <c:v>学校就业推荐</c:v>
                </c:pt>
                <c:pt idx="7">
                  <c:v>就业指导课程</c:v>
                </c:pt>
                <c:pt idx="8">
                  <c:v>个体职业辅导</c:v>
                </c:pt>
                <c:pt idx="9">
                  <c:v>就业相关政策咨询</c:v>
                </c:pt>
                <c:pt idx="10">
                  <c:v>就业实习/实践</c:v>
                </c:pt>
                <c:pt idx="11">
                  <c:v>校园招聘会/宣讲会</c:v>
                </c:pt>
              </c:strCache>
            </c:strRef>
          </c:cat>
          <c:val>
            <c:numRef>
              <c:f>Sheet1!$C$2:$C$13</c:f>
              <c:numCache>
                <c:formatCode>0.0_);[Red]\(0.0\)</c:formatCode>
                <c:ptCount val="12"/>
                <c:pt idx="0">
                  <c:v>4.72</c:v>
                </c:pt>
                <c:pt idx="1">
                  <c:v>4.65</c:v>
                </c:pt>
                <c:pt idx="2">
                  <c:v>4.64</c:v>
                </c:pt>
                <c:pt idx="3">
                  <c:v>4.64</c:v>
                </c:pt>
                <c:pt idx="4">
                  <c:v>4.61</c:v>
                </c:pt>
                <c:pt idx="5">
                  <c:v>4.59</c:v>
                </c:pt>
                <c:pt idx="6">
                  <c:v>4.58</c:v>
                </c:pt>
                <c:pt idx="7">
                  <c:v>4.54</c:v>
                </c:pt>
                <c:pt idx="8">
                  <c:v>4.52</c:v>
                </c:pt>
                <c:pt idx="9">
                  <c:v>4.52</c:v>
                </c:pt>
                <c:pt idx="10">
                  <c:v>4.5</c:v>
                </c:pt>
                <c:pt idx="11">
                  <c:v>4.38</c:v>
                </c:pt>
              </c:numCache>
            </c:numRef>
          </c:val>
        </c:ser>
        <c:dLbls>
          <c:showLegendKey val="0"/>
          <c:showVal val="1"/>
          <c:showCatName val="0"/>
          <c:showSerName val="0"/>
          <c:showPercent val="0"/>
          <c:showBubbleSize val="0"/>
        </c:dLbls>
        <c:gapWidth val="100"/>
        <c:overlap val="100"/>
        <c:axId val="397420416"/>
        <c:axId val="397421952"/>
      </c:barChart>
      <c:catAx>
        <c:axId val="397420416"/>
        <c:scaling>
          <c:orientation val="maxMin"/>
        </c:scaling>
        <c:delete val="0"/>
        <c:axPos val="l"/>
        <c:numFmt formatCode="General" sourceLinked="0"/>
        <c:majorTickMark val="none"/>
        <c:minorTickMark val="none"/>
        <c:tickLblPos val="low"/>
        <c:spPr>
          <a:noFill/>
          <a:ln w="9525" cap="flat" cmpd="sng" algn="ctr">
            <a:solidFill>
              <a:schemeClr val="tx1">
                <a:lumMod val="15000"/>
                <a:lumOff val="85000"/>
              </a:schemeClr>
            </a:solidFill>
            <a:prstDash val="solid"/>
            <a:round/>
          </a:ln>
          <a:effectLst/>
        </c:spPr>
        <c:txPr>
          <a:bodyPr rot="0" spcFirstLastPara="1" vertOverflow="ellipsis" vert="horz" wrap="square" anchor="b" anchorCtr="0"/>
          <a:lstStyle/>
          <a:p>
            <a:pPr>
              <a:defRPr lang="zh-CN" sz="900" b="0" i="0" u="none" strike="noStrike" kern="1200" baseline="0">
                <a:solidFill>
                  <a:sysClr val="windowText" lastClr="000000"/>
                </a:solidFill>
                <a:latin typeface="+mn-lt"/>
                <a:ea typeface="+mn-ea"/>
                <a:cs typeface="+mn-cs"/>
              </a:defRPr>
            </a:pPr>
          </a:p>
        </c:txPr>
        <c:crossAx val="397421952"/>
        <c:crosses val="autoZero"/>
        <c:auto val="1"/>
        <c:lblAlgn val="ctr"/>
        <c:lblOffset val="100"/>
        <c:noMultiLvlLbl val="0"/>
      </c:catAx>
      <c:valAx>
        <c:axId val="397421952"/>
        <c:scaling>
          <c:orientation val="minMax"/>
        </c:scaling>
        <c:delete val="1"/>
        <c:axPos val="t"/>
        <c:majorGridlines>
          <c:spPr>
            <a:ln w="9525" cap="flat" cmpd="sng" algn="ctr">
              <a:solidFill>
                <a:schemeClr val="tx1">
                  <a:lumMod val="15000"/>
                  <a:lumOff val="85000"/>
                </a:schemeClr>
              </a:solidFill>
              <a:prstDash val="solid"/>
              <a:round/>
            </a:ln>
            <a:effectLst/>
          </c:spPr>
        </c:majorGridlines>
        <c:numFmt formatCode="#,##0;#,##0" sourceLinked="0"/>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97420416"/>
        <c:crosses val="autoZero"/>
        <c:crossBetween val="between"/>
      </c:valAx>
      <c:spPr>
        <a:noFill/>
        <a:ln>
          <a:noFill/>
        </a:ln>
        <a:effectLst/>
      </c:spPr>
    </c:plotArea>
    <c:legend>
      <c:legendPos val="b"/>
      <c:layout>
        <c:manualLayout>
          <c:xMode val="edge"/>
          <c:yMode val="edge"/>
          <c:x val="0.389926363371251"/>
          <c:y val="0.915458380202474"/>
          <c:w val="0.204925087489065"/>
          <c:h val="0.0669647544056993"/>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08855185048178"/>
          <c:y val="0.0264005905511812"/>
          <c:w val="0.909114481495183"/>
          <c:h val="0.871111423572054"/>
        </c:manualLayout>
      </c:layout>
      <c:barChart>
        <c:barDir val="bar"/>
        <c:grouping val="clustered"/>
        <c:varyColors val="0"/>
        <c:ser>
          <c:idx val="0"/>
          <c:order val="0"/>
          <c:tx>
            <c:strRef>
              <c:f>Sheet1!$B$1</c:f>
              <c:strCache>
                <c:ptCount val="1"/>
                <c:pt idx="0">
                  <c:v>参与度</c:v>
                </c:pt>
              </c:strCache>
            </c:strRef>
          </c:tx>
          <c:spPr>
            <a:solidFill>
              <a:srgbClr val="358DA5"/>
            </a:solidFill>
            <a:ln>
              <a:solidFill>
                <a:srgbClr val="358DA5"/>
              </a:solidFill>
            </a:ln>
            <a:effectLst/>
          </c:spPr>
          <c:invertIfNegative val="0"/>
          <c:dLbls>
            <c:numFmt formatCode="##0.00%;##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prstDash val="solid"/>
                      <a:round/>
                    </a:ln>
                    <a:effectLst/>
                  </c:spPr>
                </c15:leaderLines>
              </c:ext>
            </c:extLst>
          </c:dLbls>
          <c:cat>
            <c:strRef>
              <c:f>Sheet1!$A$2:$A$8</c:f>
              <c:strCache>
                <c:ptCount val="7"/>
                <c:pt idx="0">
                  <c:v>创业课程</c:v>
                </c:pt>
                <c:pt idx="1">
                  <c:v>创业相关讲座</c:v>
                </c:pt>
                <c:pt idx="2">
                  <c:v>参观创业企业</c:v>
                </c:pt>
                <c:pt idx="3">
                  <c:v>与创业者交流</c:v>
                </c:pt>
                <c:pt idx="4">
                  <c:v>创业类学生社团活动</c:v>
                </c:pt>
                <c:pt idx="5">
                  <c:v>创业计划大赛</c:v>
                </c:pt>
                <c:pt idx="6">
                  <c:v>参与创业企业的实习项目</c:v>
                </c:pt>
              </c:strCache>
            </c:strRef>
          </c:cat>
          <c:val>
            <c:numRef>
              <c:f>Sheet1!$B$2:$B$8</c:f>
              <c:numCache>
                <c:formatCode>General</c:formatCode>
                <c:ptCount val="7"/>
                <c:pt idx="0">
                  <c:v>-0.2</c:v>
                </c:pt>
                <c:pt idx="1">
                  <c:v>-0.277777777777779</c:v>
                </c:pt>
                <c:pt idx="2">
                  <c:v>-0.233333333333334</c:v>
                </c:pt>
                <c:pt idx="3">
                  <c:v>-0.288888888888891</c:v>
                </c:pt>
                <c:pt idx="4">
                  <c:v>-0.211111111111111</c:v>
                </c:pt>
                <c:pt idx="5">
                  <c:v>-0.177777777777778</c:v>
                </c:pt>
                <c:pt idx="6">
                  <c:v>-0.222222222222222</c:v>
                </c:pt>
              </c:numCache>
            </c:numRef>
          </c:val>
          <c:extLst>
            <c:ext xmlns:c15="http://schemas.microsoft.com/office/drawing/2012/chart" uri="{02D57815-91ED-43cb-92C2-25804820EDAC}">
              <c15:datalabelsRange>
                <c15:f>Sheet1!$D$2:$D$13</c15:f>
                <c15:dlblRangeCache>
                  <c:ptCount val="12"/>
                </c15:dlblRangeCache>
              </c15:datalabelsRange>
            </c:ext>
          </c:extLst>
        </c:ser>
        <c:ser>
          <c:idx val="1"/>
          <c:order val="1"/>
          <c:tx>
            <c:strRef>
              <c:f>Sheet1!$C$1</c:f>
              <c:strCache>
                <c:ptCount val="1"/>
                <c:pt idx="0">
                  <c:v>满意度</c:v>
                </c:pt>
              </c:strCache>
            </c:strRef>
          </c:tx>
          <c:spPr>
            <a:solidFill>
              <a:schemeClr val="accent3"/>
            </a:solidFill>
            <a:ln>
              <a:noFill/>
            </a:ln>
            <a:effectLst/>
          </c:spPr>
          <c:invertIfNegative val="0"/>
          <c:dLbls>
            <c:numFmt formatCode="#,##0.00;#,##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Sheet1!$A$2:$A$8</c:f>
              <c:strCache>
                <c:ptCount val="7"/>
                <c:pt idx="0">
                  <c:v>创业课程</c:v>
                </c:pt>
                <c:pt idx="1">
                  <c:v>创业相关讲座</c:v>
                </c:pt>
                <c:pt idx="2">
                  <c:v>参观创业企业</c:v>
                </c:pt>
                <c:pt idx="3">
                  <c:v>与创业者交流</c:v>
                </c:pt>
                <c:pt idx="4">
                  <c:v>创业类学生社团活动</c:v>
                </c:pt>
                <c:pt idx="5">
                  <c:v>创业计划大赛</c:v>
                </c:pt>
                <c:pt idx="6">
                  <c:v>参与创业企业的实习项目</c:v>
                </c:pt>
              </c:strCache>
            </c:strRef>
          </c:cat>
          <c:val>
            <c:numRef>
              <c:f>Sheet1!$C$2:$C$8</c:f>
              <c:numCache>
                <c:formatCode>0.0_);[Red]\(0.0\)</c:formatCode>
                <c:ptCount val="7"/>
                <c:pt idx="0">
                  <c:v>4.67</c:v>
                </c:pt>
                <c:pt idx="1">
                  <c:v>4.64</c:v>
                </c:pt>
                <c:pt idx="2">
                  <c:v>4.57</c:v>
                </c:pt>
                <c:pt idx="3">
                  <c:v>4.54</c:v>
                </c:pt>
                <c:pt idx="4">
                  <c:v>4.53</c:v>
                </c:pt>
                <c:pt idx="5">
                  <c:v>4.5</c:v>
                </c:pt>
                <c:pt idx="6">
                  <c:v>4.5</c:v>
                </c:pt>
              </c:numCache>
            </c:numRef>
          </c:val>
        </c:ser>
        <c:dLbls>
          <c:showLegendKey val="0"/>
          <c:showVal val="1"/>
          <c:showCatName val="0"/>
          <c:showSerName val="0"/>
          <c:showPercent val="0"/>
          <c:showBubbleSize val="0"/>
        </c:dLbls>
        <c:gapWidth val="100"/>
        <c:overlap val="100"/>
        <c:axId val="397469184"/>
        <c:axId val="397470720"/>
      </c:barChart>
      <c:catAx>
        <c:axId val="397469184"/>
        <c:scaling>
          <c:orientation val="maxMin"/>
        </c:scaling>
        <c:delete val="0"/>
        <c:axPos val="l"/>
        <c:numFmt formatCode="General" sourceLinked="0"/>
        <c:majorTickMark val="none"/>
        <c:minorTickMark val="none"/>
        <c:tickLblPos val="low"/>
        <c:spPr>
          <a:noFill/>
          <a:ln w="9525" cap="flat" cmpd="sng" algn="ctr">
            <a:solidFill>
              <a:schemeClr val="tx1">
                <a:lumMod val="15000"/>
                <a:lumOff val="85000"/>
              </a:schemeClr>
            </a:solidFill>
            <a:prstDash val="solid"/>
            <a:round/>
          </a:ln>
          <a:effectLst/>
        </c:spPr>
        <c:txPr>
          <a:bodyPr rot="0" spcFirstLastPara="1" vertOverflow="ellipsis" vert="horz" wrap="square" anchor="b" anchorCtr="0"/>
          <a:lstStyle/>
          <a:p>
            <a:pPr>
              <a:defRPr lang="zh-CN" sz="900" b="0" i="0" u="none" strike="noStrike" kern="1200" baseline="0">
                <a:solidFill>
                  <a:sysClr val="windowText" lastClr="000000"/>
                </a:solidFill>
                <a:latin typeface="+mn-lt"/>
                <a:ea typeface="+mn-ea"/>
                <a:cs typeface="+mn-cs"/>
              </a:defRPr>
            </a:pPr>
          </a:p>
        </c:txPr>
        <c:crossAx val="397470720"/>
        <c:crosses val="autoZero"/>
        <c:auto val="1"/>
        <c:lblAlgn val="ctr"/>
        <c:lblOffset val="100"/>
        <c:noMultiLvlLbl val="0"/>
      </c:catAx>
      <c:valAx>
        <c:axId val="397470720"/>
        <c:scaling>
          <c:orientation val="minMax"/>
        </c:scaling>
        <c:delete val="1"/>
        <c:axPos val="t"/>
        <c:majorGridlines>
          <c:spPr>
            <a:ln w="9525" cap="flat" cmpd="sng" algn="ctr">
              <a:solidFill>
                <a:schemeClr val="tx1">
                  <a:lumMod val="15000"/>
                  <a:lumOff val="85000"/>
                </a:schemeClr>
              </a:solidFill>
              <a:prstDash val="solid"/>
              <a:round/>
            </a:ln>
            <a:effectLst/>
          </c:spPr>
        </c:majorGridlines>
        <c:numFmt formatCode="#,##0;#,##0" sourceLinked="0"/>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97469184"/>
        <c:crosses val="autoZero"/>
        <c:crossBetween val="between"/>
      </c:valAx>
      <c:spPr>
        <a:noFill/>
        <a:ln>
          <a:noFill/>
        </a:ln>
        <a:effectLst/>
      </c:spPr>
    </c:plotArea>
    <c:legend>
      <c:legendPos val="b"/>
      <c:layout>
        <c:manualLayout>
          <c:xMode val="edge"/>
          <c:yMode val="edge"/>
          <c:x val="0.389926363371251"/>
          <c:y val="0.915458380202474"/>
          <c:w val="0.204925087489065"/>
          <c:h val="0.0669647544056993"/>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1500255176438"/>
          <c:y val="0.128859247432781"/>
          <c:w val="0.436856959525672"/>
          <c:h val="0.843552777420266"/>
        </c:manualLayout>
      </c:layout>
      <c:pieChart>
        <c:varyColors val="1"/>
        <c:ser>
          <c:idx val="0"/>
          <c:order val="0"/>
          <c:tx>
            <c:strRef>
              <c:f>Sheet1!$B$1</c:f>
              <c:strCache>
                <c:ptCount val="1"/>
                <c:pt idx="0">
                  <c:v/>
                </c:pt>
              </c:strCache>
            </c:strRef>
          </c:tx>
          <c:explosion val="0"/>
          <c:dPt>
            <c:idx val="0"/>
            <c:bubble3D val="0"/>
            <c:explosion val="6"/>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0640080381613701"/>
                  <c:y val="0.00731885825811174"/>
                </c:manualLayout>
              </c:layout>
              <c:numFmt formatCode="0.00%" sourceLinked="0"/>
              <c:spPr>
                <a:no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1"/>
              <c:layout/>
              <c:numFmt formatCode="0.00%" sourceLinked="0"/>
              <c:spPr>
                <a:no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extLst>
            </c:dLbl>
            <c:dLbl>
              <c:idx val="2"/>
              <c:layout/>
              <c:numFmt formatCode="0.00%" sourceLinked="0"/>
              <c:spPr>
                <a:no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extLst>
            </c:dLbl>
            <c:dLbl>
              <c:idx val="3"/>
              <c:layout/>
              <c:numFmt formatCode="0.00%" sourceLinked="0"/>
              <c:spPr>
                <a:no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extLst>
            </c:dLbl>
            <c:dLbl>
              <c:idx val="4"/>
              <c:layout/>
              <c:numFmt formatCode="0.00%" sourceLinked="0"/>
              <c:spPr>
                <a:no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extLst>
            </c:dLbl>
            <c:numFmt formatCode="0.00%" sourceLinked="0"/>
            <c:spPr>
              <a:no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p>
            </c:txPr>
            <c:dLblPos val="bestFit"/>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ext>
            </c:extLst>
          </c:dLbls>
          <c:cat>
            <c:strRef>
              <c:f>Sheet1!$A$2:$A$6</c:f>
              <c:strCache>
                <c:ptCount val="5"/>
                <c:pt idx="0">
                  <c:v>上学期间未创业，毕业后也不打算创业</c:v>
                </c:pt>
                <c:pt idx="1">
                  <c:v>上学期间未创业，毕业后打算马上创业</c:v>
                </c:pt>
                <c:pt idx="2">
                  <c:v>上学期间未创业，毕业后打算工作几年再创业</c:v>
                </c:pt>
                <c:pt idx="3">
                  <c:v>上学期间创业了，毕业后打算继续创业</c:v>
                </c:pt>
                <c:pt idx="4">
                  <c:v>上学期间创业了，毕业后打算暂停创业</c:v>
                </c:pt>
              </c:strCache>
            </c:strRef>
          </c:cat>
          <c:val>
            <c:numRef>
              <c:f>Sheet1!$B$2:$B$6</c:f>
              <c:numCache>
                <c:formatCode>###0"人"</c:formatCode>
                <c:ptCount val="5"/>
                <c:pt idx="0">
                  <c:v>33</c:v>
                </c:pt>
                <c:pt idx="1">
                  <c:v>4</c:v>
                </c:pt>
                <c:pt idx="2">
                  <c:v>35</c:v>
                </c:pt>
                <c:pt idx="3">
                  <c:v>13</c:v>
                </c:pt>
                <c:pt idx="4">
                  <c:v>5</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
                </c:pt>
              </c:strCache>
            </c:strRef>
          </c:tx>
          <c:spPr>
            <a:solidFill>
              <a:schemeClr val="accent5">
                <a:alpha val="85000"/>
              </a:scheme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Sheet1!$A$2:$A$7</c:f>
              <c:strCache>
                <c:ptCount val="6"/>
                <c:pt idx="0">
                  <c:v>了解了相关创业政策</c:v>
                </c:pt>
                <c:pt idx="1">
                  <c:v>了解了什么是大学生创业</c:v>
                </c:pt>
                <c:pt idx="2">
                  <c:v>没有任何收获</c:v>
                </c:pt>
                <c:pt idx="3">
                  <c:v>启发了我的创业意识</c:v>
                </c:pt>
                <c:pt idx="4">
                  <c:v>明确了我的创业计划</c:v>
                </c:pt>
                <c:pt idx="5">
                  <c:v>激发了我的创业热情</c:v>
                </c:pt>
              </c:strCache>
            </c:strRef>
          </c:cat>
          <c:val>
            <c:numRef>
              <c:f>Sheet1!$B$2:$B$7</c:f>
              <c:numCache>
                <c:formatCode>0.00%</c:formatCode>
                <c:ptCount val="6"/>
                <c:pt idx="0">
                  <c:v>0.244400000000001</c:v>
                </c:pt>
                <c:pt idx="1">
                  <c:v>0.2222</c:v>
                </c:pt>
                <c:pt idx="2">
                  <c:v>0.1778</c:v>
                </c:pt>
                <c:pt idx="3">
                  <c:v>0.1667</c:v>
                </c:pt>
                <c:pt idx="4">
                  <c:v>0.1222</c:v>
                </c:pt>
                <c:pt idx="5">
                  <c:v>0.0667</c:v>
                </c:pt>
              </c:numCache>
            </c:numRef>
          </c:val>
        </c:ser>
        <c:dLbls>
          <c:showLegendKey val="0"/>
          <c:showVal val="1"/>
          <c:showCatName val="0"/>
          <c:showSerName val="0"/>
          <c:showPercent val="0"/>
          <c:showBubbleSize val="0"/>
        </c:dLbls>
        <c:gapWidth val="65"/>
        <c:axId val="397236864"/>
        <c:axId val="397272576"/>
      </c:barChart>
      <c:catAx>
        <c:axId val="397236864"/>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97272576"/>
        <c:crosses val="autoZero"/>
        <c:auto val="1"/>
        <c:lblAlgn val="ctr"/>
        <c:lblOffset val="100"/>
        <c:noMultiLvlLbl val="0"/>
      </c:catAx>
      <c:valAx>
        <c:axId val="397272576"/>
        <c:scaling>
          <c:orientation val="minMax"/>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crossAx val="397236864"/>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c:f>
              <c:strCache>
                <c:ptCount val="1"/>
                <c:pt idx="0">
                  <c:v>最终落实</c:v>
                </c:pt>
              </c:strCache>
            </c:strRef>
          </c:tx>
          <c:spPr>
            <a:effectLst/>
          </c:spPr>
          <c:dLbls>
            <c:delete val="1"/>
          </c:dLbls>
          <c:cat>
            <c:strRef>
              <c:f>Sheet1!$B$1:$E$1</c:f>
              <c:strCache>
                <c:ptCount val="4"/>
                <c:pt idx="0">
                  <c:v>北京</c:v>
                </c:pt>
                <c:pt idx="1">
                  <c:v>东部地区</c:v>
                </c:pt>
                <c:pt idx="2">
                  <c:v>中部地区</c:v>
                </c:pt>
                <c:pt idx="3">
                  <c:v>西部地区</c:v>
                </c:pt>
              </c:strCache>
            </c:strRef>
          </c:cat>
          <c:val>
            <c:numRef>
              <c:f>Sheet1!$B$2:$E$2</c:f>
              <c:numCache>
                <c:formatCode>0.00%</c:formatCode>
                <c:ptCount val="4"/>
                <c:pt idx="0">
                  <c:v>0.8333</c:v>
                </c:pt>
                <c:pt idx="1">
                  <c:v>0.1167</c:v>
                </c:pt>
                <c:pt idx="2">
                  <c:v>0.0333</c:v>
                </c:pt>
                <c:pt idx="3">
                  <c:v>0.0167000000000001</c:v>
                </c:pt>
              </c:numCache>
            </c:numRef>
          </c:val>
          <c:smooth val="0"/>
        </c:ser>
        <c:ser>
          <c:idx val="1"/>
          <c:order val="1"/>
          <c:tx>
            <c:strRef>
              <c:f>Sheet1!$A$3</c:f>
              <c:strCache>
                <c:ptCount val="1"/>
                <c:pt idx="0">
                  <c:v>期望首选</c:v>
                </c:pt>
              </c:strCache>
            </c:strRef>
          </c:tx>
          <c:spPr>
            <a:ln w="28575" cap="rnd" cmpd="sng" algn="ctr">
              <a:solidFill>
                <a:schemeClr val="accent5">
                  <a:tint val="77000"/>
                  <a:shade val="95000"/>
                  <a:satMod val="105000"/>
                </a:schemeClr>
              </a:solidFill>
              <a:prstDash val="solid"/>
              <a:round/>
            </a:ln>
            <a:effectLst/>
          </c:spPr>
          <c:marker>
            <c:spPr>
              <a:solidFill>
                <a:schemeClr val="accent5">
                  <a:tint val="77000"/>
                </a:schemeClr>
              </a:solidFill>
              <a:ln w="9525" cap="flat" cmpd="sng" algn="ctr">
                <a:solidFill>
                  <a:schemeClr val="accent5">
                    <a:tint val="77000"/>
                    <a:shade val="95000"/>
                    <a:satMod val="105000"/>
                  </a:schemeClr>
                </a:solidFill>
                <a:prstDash val="solid"/>
                <a:round/>
              </a:ln>
              <a:effectLst/>
            </c:spPr>
          </c:marker>
          <c:dLbls>
            <c:delete val="1"/>
          </c:dLbls>
          <c:cat>
            <c:strRef>
              <c:f>Sheet1!$B$1:$E$1</c:f>
              <c:strCache>
                <c:ptCount val="4"/>
                <c:pt idx="0">
                  <c:v>北京</c:v>
                </c:pt>
                <c:pt idx="1">
                  <c:v>东部地区</c:v>
                </c:pt>
                <c:pt idx="2">
                  <c:v>中部地区</c:v>
                </c:pt>
                <c:pt idx="3">
                  <c:v>西部地区</c:v>
                </c:pt>
              </c:strCache>
            </c:strRef>
          </c:cat>
          <c:val>
            <c:numRef>
              <c:f>Sheet1!$B$3:$E$3</c:f>
              <c:numCache>
                <c:formatCode>0.00%</c:formatCode>
                <c:ptCount val="4"/>
                <c:pt idx="0">
                  <c:v>0.8833</c:v>
                </c:pt>
                <c:pt idx="1">
                  <c:v>0.0833</c:v>
                </c:pt>
                <c:pt idx="2">
                  <c:v>0.0333</c:v>
                </c:pt>
              </c:numCache>
            </c:numRef>
          </c:val>
          <c:smooth val="0"/>
        </c:ser>
        <c:dLbls>
          <c:showLegendKey val="0"/>
          <c:showVal val="0"/>
          <c:showCatName val="0"/>
          <c:showSerName val="0"/>
          <c:showPercent val="0"/>
          <c:showBubbleSize val="0"/>
        </c:dLbls>
        <c:marker val="1"/>
        <c:smooth val="0"/>
        <c:axId val="397338496"/>
        <c:axId val="397344768"/>
      </c:lineChart>
      <c:catAx>
        <c:axId val="39733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7344768"/>
        <c:crosses val="autoZero"/>
        <c:auto val="1"/>
        <c:lblAlgn val="ctr"/>
        <c:lblOffset val="100"/>
        <c:noMultiLvlLbl val="0"/>
      </c:catAx>
      <c:valAx>
        <c:axId val="397344768"/>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7338496"/>
        <c:crosses val="autoZero"/>
        <c:crossBetween val="between"/>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dTable>
      <c:spPr>
        <a:noFill/>
        <a:ln>
          <a:noFill/>
        </a:ln>
        <a:effectLst/>
      </c:spPr>
    </c:plotArea>
    <c:plotVisOnly val="1"/>
    <c:dispBlanksAs val="gap"/>
    <c:showDLblsOverMax val="0"/>
  </c:chart>
  <c:spPr>
    <a:no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c:f>
              <c:strCache>
                <c:ptCount val="1"/>
                <c:pt idx="0">
                  <c:v>最终落实</c:v>
                </c:pt>
              </c:strCache>
            </c:strRef>
          </c:tx>
          <c:spPr>
            <a:effectLst/>
          </c:spPr>
          <c:dLbls>
            <c:delete val="1"/>
          </c:dLbls>
          <c:cat>
            <c:strRef>
              <c:f>Sheet1!$B$1:$H$1</c:f>
              <c:strCache>
                <c:ptCount val="7"/>
                <c:pt idx="0">
                  <c:v>北京</c:v>
                </c:pt>
                <c:pt idx="1">
                  <c:v>北部沿海经济区</c:v>
                </c:pt>
                <c:pt idx="2">
                  <c:v>东部沿海经济区</c:v>
                </c:pt>
                <c:pt idx="3">
                  <c:v>南部沿海经济区</c:v>
                </c:pt>
                <c:pt idx="4">
                  <c:v>黄河中游经济区</c:v>
                </c:pt>
                <c:pt idx="5">
                  <c:v>长江中游经济区</c:v>
                </c:pt>
                <c:pt idx="6">
                  <c:v>西南经济区</c:v>
                </c:pt>
              </c:strCache>
            </c:strRef>
          </c:cat>
          <c:val>
            <c:numRef>
              <c:f>Sheet1!$B$2:$H$2</c:f>
              <c:numCache>
                <c:formatCode>0.00%</c:formatCode>
                <c:ptCount val="7"/>
                <c:pt idx="0">
                  <c:v>0.8333</c:v>
                </c:pt>
                <c:pt idx="1">
                  <c:v>0.0333</c:v>
                </c:pt>
                <c:pt idx="2">
                  <c:v>0.0667</c:v>
                </c:pt>
                <c:pt idx="3">
                  <c:v>0.0167000000000001</c:v>
                </c:pt>
                <c:pt idx="4">
                  <c:v>0.0333</c:v>
                </c:pt>
                <c:pt idx="6">
                  <c:v>0.0167000000000001</c:v>
                </c:pt>
              </c:numCache>
            </c:numRef>
          </c:val>
          <c:smooth val="0"/>
        </c:ser>
        <c:ser>
          <c:idx val="1"/>
          <c:order val="1"/>
          <c:tx>
            <c:strRef>
              <c:f>Sheet1!$A$3</c:f>
              <c:strCache>
                <c:ptCount val="1"/>
                <c:pt idx="0">
                  <c:v>期望首选</c:v>
                </c:pt>
              </c:strCache>
            </c:strRef>
          </c:tx>
          <c:spPr>
            <a:ln w="28575" cap="rnd" cmpd="sng" algn="ctr">
              <a:solidFill>
                <a:schemeClr val="accent5">
                  <a:tint val="77000"/>
                  <a:shade val="95000"/>
                  <a:satMod val="105000"/>
                </a:schemeClr>
              </a:solidFill>
              <a:prstDash val="solid"/>
              <a:round/>
            </a:ln>
            <a:effectLst/>
          </c:spPr>
          <c:marker>
            <c:spPr>
              <a:solidFill>
                <a:schemeClr val="accent5">
                  <a:tint val="77000"/>
                </a:schemeClr>
              </a:solidFill>
              <a:ln w="9525" cap="flat" cmpd="sng" algn="ctr">
                <a:solidFill>
                  <a:schemeClr val="accent5">
                    <a:tint val="77000"/>
                    <a:shade val="95000"/>
                    <a:satMod val="105000"/>
                  </a:schemeClr>
                </a:solidFill>
                <a:prstDash val="solid"/>
                <a:round/>
              </a:ln>
              <a:effectLst/>
            </c:spPr>
          </c:marker>
          <c:dLbls>
            <c:delete val="1"/>
          </c:dLbls>
          <c:cat>
            <c:strRef>
              <c:f>Sheet1!$B$1:$H$1</c:f>
              <c:strCache>
                <c:ptCount val="7"/>
                <c:pt idx="0">
                  <c:v>北京</c:v>
                </c:pt>
                <c:pt idx="1">
                  <c:v>北部沿海经济区</c:v>
                </c:pt>
                <c:pt idx="2">
                  <c:v>东部沿海经济区</c:v>
                </c:pt>
                <c:pt idx="3">
                  <c:v>南部沿海经济区</c:v>
                </c:pt>
                <c:pt idx="4">
                  <c:v>黄河中游经济区</c:v>
                </c:pt>
                <c:pt idx="5">
                  <c:v>长江中游经济区</c:v>
                </c:pt>
                <c:pt idx="6">
                  <c:v>西南经济区</c:v>
                </c:pt>
              </c:strCache>
            </c:strRef>
          </c:cat>
          <c:val>
            <c:numRef>
              <c:f>Sheet1!$B$3:$H$3</c:f>
              <c:numCache>
                <c:formatCode>0.00%</c:formatCode>
                <c:ptCount val="7"/>
                <c:pt idx="0">
                  <c:v>0.8833</c:v>
                </c:pt>
                <c:pt idx="1">
                  <c:v>0.0167000000000001</c:v>
                </c:pt>
                <c:pt idx="2">
                  <c:v>0.05</c:v>
                </c:pt>
                <c:pt idx="3">
                  <c:v>0.0167000000000001</c:v>
                </c:pt>
                <c:pt idx="4">
                  <c:v>0.0167000000000001</c:v>
                </c:pt>
                <c:pt idx="5">
                  <c:v>0.0167000000000001</c:v>
                </c:pt>
              </c:numCache>
            </c:numRef>
          </c:val>
          <c:smooth val="0"/>
        </c:ser>
        <c:dLbls>
          <c:showLegendKey val="0"/>
          <c:showVal val="0"/>
          <c:showCatName val="0"/>
          <c:showSerName val="0"/>
          <c:showPercent val="0"/>
          <c:showBubbleSize val="0"/>
        </c:dLbls>
        <c:marker val="1"/>
        <c:smooth val="0"/>
        <c:axId val="397387648"/>
        <c:axId val="397402112"/>
      </c:lineChart>
      <c:catAx>
        <c:axId val="39738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7402112"/>
        <c:crosses val="autoZero"/>
        <c:auto val="1"/>
        <c:lblAlgn val="ctr"/>
        <c:lblOffset val="100"/>
        <c:noMultiLvlLbl val="0"/>
      </c:catAx>
      <c:valAx>
        <c:axId val="39740211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7387648"/>
        <c:crosses val="autoZero"/>
        <c:crossBetween val="between"/>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dTable>
      <c:spPr>
        <a:noFill/>
        <a:ln>
          <a:noFill/>
        </a:ln>
        <a:effectLst/>
      </c:spPr>
    </c:plotArea>
    <c:plotVisOnly val="1"/>
    <c:dispBlanksAs val="gap"/>
    <c:showDLblsOverMax val="0"/>
  </c:chart>
  <c:spPr>
    <a:no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c:f>
              <c:strCache>
                <c:ptCount val="1"/>
                <c:pt idx="0">
                  <c:v>最终落实（2016届）</c:v>
                </c:pt>
              </c:strCache>
            </c:strRef>
          </c:tx>
          <c:spPr>
            <a:ln w="28575" cap="rnd" cmpd="sng" algn="ctr">
              <a:solidFill>
                <a:srgbClr val="4BACC6"/>
              </a:solidFill>
              <a:prstDash val="solid"/>
              <a:round/>
            </a:ln>
            <a:effectLst/>
          </c:spPr>
          <c:marker>
            <c:spPr>
              <a:solidFill>
                <a:srgbClr val="4BACC6"/>
              </a:solidFill>
              <a:ln w="9525" cap="flat" cmpd="sng" algn="ctr">
                <a:solidFill>
                  <a:srgbClr val="4BACC6"/>
                </a:solidFill>
                <a:prstDash val="solid"/>
                <a:round/>
              </a:ln>
            </c:spPr>
          </c:marker>
          <c:dLbls>
            <c:delete val="1"/>
          </c:dLbls>
          <c:cat>
            <c:strRef>
              <c:f>Sheet1!$B$1:$E$1</c:f>
              <c:strCache>
                <c:ptCount val="4"/>
                <c:pt idx="0">
                  <c:v>北京</c:v>
                </c:pt>
                <c:pt idx="1">
                  <c:v>东部地区</c:v>
                </c:pt>
                <c:pt idx="2">
                  <c:v>中部地区</c:v>
                </c:pt>
                <c:pt idx="3">
                  <c:v>西部地区</c:v>
                </c:pt>
              </c:strCache>
            </c:strRef>
          </c:cat>
          <c:val>
            <c:numRef>
              <c:f>Sheet1!$B$2:$E$2</c:f>
              <c:numCache>
                <c:formatCode>###0.00%</c:formatCode>
                <c:ptCount val="4"/>
                <c:pt idx="0">
                  <c:v>0.9286</c:v>
                </c:pt>
                <c:pt idx="1">
                  <c:v>0.0357</c:v>
                </c:pt>
                <c:pt idx="2">
                  <c:v>0</c:v>
                </c:pt>
                <c:pt idx="3">
                  <c:v>0.0357</c:v>
                </c:pt>
              </c:numCache>
            </c:numRef>
          </c:val>
          <c:smooth val="0"/>
        </c:ser>
        <c:ser>
          <c:idx val="1"/>
          <c:order val="1"/>
          <c:tx>
            <c:strRef>
              <c:f>Sheet1!$A$3</c:f>
              <c:strCache>
                <c:ptCount val="1"/>
                <c:pt idx="0">
                  <c:v>期望首选（2016届）</c:v>
                </c:pt>
              </c:strCache>
            </c:strRef>
          </c:tx>
          <c:spPr>
            <a:ln w="28575" cap="rnd" cmpd="sng" algn="ctr">
              <a:solidFill>
                <a:srgbClr val="4BACC6">
                  <a:lumMod val="50000"/>
                </a:srgbClr>
              </a:solidFill>
              <a:prstDash val="solid"/>
              <a:round/>
            </a:ln>
            <a:effectLst/>
          </c:spPr>
          <c:marker>
            <c:spPr>
              <a:solidFill>
                <a:srgbClr val="4BACC6">
                  <a:lumMod val="50000"/>
                </a:srgbClr>
              </a:solidFill>
              <a:ln w="9525" cap="flat" cmpd="sng" algn="ctr">
                <a:solidFill>
                  <a:srgbClr val="4BACC6">
                    <a:lumMod val="50000"/>
                  </a:srgbClr>
                </a:solidFill>
                <a:prstDash val="solid"/>
                <a:round/>
              </a:ln>
              <a:effectLst/>
            </c:spPr>
          </c:marker>
          <c:dLbls>
            <c:delete val="1"/>
          </c:dLbls>
          <c:cat>
            <c:strRef>
              <c:f>Sheet1!$B$1:$E$1</c:f>
              <c:strCache>
                <c:ptCount val="4"/>
                <c:pt idx="0">
                  <c:v>北京</c:v>
                </c:pt>
                <c:pt idx="1">
                  <c:v>东部地区</c:v>
                </c:pt>
                <c:pt idx="2">
                  <c:v>中部地区</c:v>
                </c:pt>
                <c:pt idx="3">
                  <c:v>西部地区</c:v>
                </c:pt>
              </c:strCache>
            </c:strRef>
          </c:cat>
          <c:val>
            <c:numRef>
              <c:f>Sheet1!$B$3:$E$3</c:f>
              <c:numCache>
                <c:formatCode>###0.00%</c:formatCode>
                <c:ptCount val="4"/>
                <c:pt idx="0">
                  <c:v>0.9286</c:v>
                </c:pt>
                <c:pt idx="1">
                  <c:v>0.0357</c:v>
                </c:pt>
                <c:pt idx="2">
                  <c:v>0</c:v>
                </c:pt>
                <c:pt idx="3">
                  <c:v>0.0357</c:v>
                </c:pt>
              </c:numCache>
            </c:numRef>
          </c:val>
          <c:smooth val="0"/>
        </c:ser>
        <c:ser>
          <c:idx val="2"/>
          <c:order val="2"/>
          <c:tx>
            <c:strRef>
              <c:f>Sheet1!$A$4</c:f>
              <c:strCache>
                <c:ptCount val="1"/>
                <c:pt idx="0">
                  <c:v>最终落实（2017届）</c:v>
                </c:pt>
              </c:strCache>
            </c:strRef>
          </c:tx>
          <c:dLbls>
            <c:delete val="1"/>
          </c:dLbls>
          <c:cat>
            <c:strRef>
              <c:f>Sheet1!$B$1:$E$1</c:f>
              <c:strCache>
                <c:ptCount val="4"/>
                <c:pt idx="0">
                  <c:v>北京</c:v>
                </c:pt>
                <c:pt idx="1">
                  <c:v>东部地区</c:v>
                </c:pt>
                <c:pt idx="2">
                  <c:v>中部地区</c:v>
                </c:pt>
                <c:pt idx="3">
                  <c:v>西部地区</c:v>
                </c:pt>
              </c:strCache>
            </c:strRef>
          </c:cat>
          <c:val>
            <c:numRef>
              <c:f>Sheet1!$B$4:$E$4</c:f>
              <c:numCache>
                <c:formatCode>0.00%</c:formatCode>
                <c:ptCount val="4"/>
                <c:pt idx="0">
                  <c:v>0.8333</c:v>
                </c:pt>
                <c:pt idx="1">
                  <c:v>0.1167</c:v>
                </c:pt>
                <c:pt idx="2">
                  <c:v>0.0333</c:v>
                </c:pt>
                <c:pt idx="3">
                  <c:v>0.0167</c:v>
                </c:pt>
              </c:numCache>
            </c:numRef>
          </c:val>
          <c:smooth val="0"/>
        </c:ser>
        <c:ser>
          <c:idx val="3"/>
          <c:order val="3"/>
          <c:tx>
            <c:strRef>
              <c:f>Sheet1!$A$5</c:f>
              <c:strCache>
                <c:ptCount val="1"/>
                <c:pt idx="0">
                  <c:v>期望首选（2017届）</c:v>
                </c:pt>
              </c:strCache>
            </c:strRef>
          </c:tx>
          <c:spPr>
            <a:ln w="28575" cap="rnd" cmpd="sng" algn="ctr">
              <a:solidFill>
                <a:srgbClr val="4BACC6">
                  <a:lumMod val="75000"/>
                </a:srgbClr>
              </a:solidFill>
              <a:prstDash val="solid"/>
              <a:round/>
            </a:ln>
          </c:spPr>
          <c:marker>
            <c:symbol val="star"/>
            <c:size val="7"/>
            <c:spPr>
              <a:noFill/>
              <a:ln w="9525" cap="flat" cmpd="sng" algn="ctr">
                <a:solidFill>
                  <a:srgbClr val="4BACC6">
                    <a:lumMod val="75000"/>
                  </a:srgbClr>
                </a:solidFill>
                <a:prstDash val="solid"/>
                <a:round/>
              </a:ln>
            </c:spPr>
          </c:marker>
          <c:dLbls>
            <c:delete val="1"/>
          </c:dLbls>
          <c:cat>
            <c:strRef>
              <c:f>Sheet1!$B$1:$E$1</c:f>
              <c:strCache>
                <c:ptCount val="4"/>
                <c:pt idx="0">
                  <c:v>北京</c:v>
                </c:pt>
                <c:pt idx="1">
                  <c:v>东部地区</c:v>
                </c:pt>
                <c:pt idx="2">
                  <c:v>中部地区</c:v>
                </c:pt>
                <c:pt idx="3">
                  <c:v>西部地区</c:v>
                </c:pt>
              </c:strCache>
            </c:strRef>
          </c:cat>
          <c:val>
            <c:numRef>
              <c:f>Sheet1!$B$5:$E$5</c:f>
              <c:numCache>
                <c:formatCode>0.00%</c:formatCode>
                <c:ptCount val="4"/>
                <c:pt idx="0">
                  <c:v>0.8833</c:v>
                </c:pt>
                <c:pt idx="1">
                  <c:v>0.0833</c:v>
                </c:pt>
                <c:pt idx="2">
                  <c:v>0.0333</c:v>
                </c:pt>
                <c:pt idx="3">
                  <c:v>0</c:v>
                </c:pt>
              </c:numCache>
            </c:numRef>
          </c:val>
          <c:smooth val="0"/>
        </c:ser>
        <c:dLbls>
          <c:showLegendKey val="0"/>
          <c:showVal val="0"/>
          <c:showCatName val="0"/>
          <c:showSerName val="0"/>
          <c:showPercent val="0"/>
          <c:showBubbleSize val="0"/>
        </c:dLbls>
        <c:marker val="1"/>
        <c:smooth val="0"/>
        <c:axId val="397541760"/>
        <c:axId val="397543680"/>
      </c:lineChart>
      <c:catAx>
        <c:axId val="39754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7543680"/>
        <c:crosses val="autoZero"/>
        <c:auto val="1"/>
        <c:lblAlgn val="ctr"/>
        <c:lblOffset val="100"/>
        <c:noMultiLvlLbl val="0"/>
      </c:catAx>
      <c:valAx>
        <c:axId val="397543680"/>
        <c:scaling>
          <c:orientation val="minMax"/>
          <c:max val="1"/>
        </c:scaling>
        <c:delete val="0"/>
        <c:axPos val="l"/>
        <c:majorGridlines>
          <c:spPr>
            <a:ln w="9525" cap="flat" cmpd="sng" algn="ctr">
              <a:solidFill>
                <a:schemeClr val="tx1">
                  <a:tint val="75000"/>
                  <a:shade val="95000"/>
                  <a:satMod val="105000"/>
                </a:schemeClr>
              </a:solidFill>
              <a:prstDash val="solid"/>
              <a:round/>
            </a:ln>
            <a:effectLst/>
          </c:spPr>
        </c:majorGridlines>
        <c:numFmt formatCode="###0.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7541760"/>
        <c:crosses val="autoZero"/>
        <c:crossBetween val="between"/>
        <c:majorUnit val="0.1"/>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dTable>
      <c:spPr>
        <a:noFill/>
        <a:ln>
          <a:noFill/>
        </a:ln>
        <a:effectLst/>
      </c:spPr>
    </c:plotArea>
    <c:plotVisOnly val="1"/>
    <c:dispBlanksAs val="gap"/>
    <c:showDLblsOverMax val="0"/>
  </c:chart>
  <c:spPr>
    <a:no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10734463276838"/>
          <c:y val="0.0547263681592041"/>
          <c:w val="0.953528328824055"/>
          <c:h val="0.608090748313116"/>
        </c:manualLayout>
      </c:layout>
      <c:lineChart>
        <c:grouping val="standard"/>
        <c:varyColors val="0"/>
        <c:ser>
          <c:idx val="0"/>
          <c:order val="0"/>
          <c:tx>
            <c:strRef>
              <c:f>Sheet1!$B$1</c:f>
              <c:strCache>
                <c:ptCount val="1"/>
                <c:pt idx="0">
                  <c:v/>
                </c:pt>
              </c:strCache>
            </c:strRef>
          </c:tx>
          <c:spPr>
            <a:ln w="31750" cap="rnd" cmpd="sng" algn="ctr">
              <a:solidFill>
                <a:schemeClr val="accent5"/>
              </a:solidFill>
              <a:prstDash val="solid"/>
              <a:round/>
            </a:ln>
            <a:effectLst/>
          </c:spPr>
          <c:marker>
            <c:symbol val="circle"/>
            <c:size val="17"/>
            <c:spPr>
              <a:solidFill>
                <a:schemeClr val="accent5"/>
              </a:solidFill>
              <a:ln w="9525" cap="flat" cmpd="sng" algn="ctr">
                <a:noFill/>
                <a:prstDash val="solid"/>
                <a:round/>
              </a:ln>
              <a:effectLst/>
            </c:spPr>
          </c:marker>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Sheet1!$A$2:$A$13</c:f>
              <c:strCache>
                <c:ptCount val="12"/>
                <c:pt idx="0">
                  <c:v>表演</c:v>
                </c:pt>
                <c:pt idx="1">
                  <c:v>表演（戏剧影视表演）</c:v>
                </c:pt>
                <c:pt idx="2">
                  <c:v>表演（音乐剧）</c:v>
                </c:pt>
                <c:pt idx="3">
                  <c:v>导演（演出制作）</c:v>
                </c:pt>
                <c:pt idx="4">
                  <c:v>导演（影视编导）</c:v>
                </c:pt>
                <c:pt idx="5">
                  <c:v>戏剧学(戏剧史论与批评)</c:v>
                </c:pt>
                <c:pt idx="6">
                  <c:v>戏剧影视导演</c:v>
                </c:pt>
                <c:pt idx="7">
                  <c:v>戏剧影视美术设计(舞台灯光)</c:v>
                </c:pt>
                <c:pt idx="8">
                  <c:v>戏剧影视美术设计(舞台服装)</c:v>
                </c:pt>
                <c:pt idx="9">
                  <c:v>戏剧影视美术设计(舞台化装)</c:v>
                </c:pt>
                <c:pt idx="10">
                  <c:v>戏剧影视美术设计(舞台技术)</c:v>
                </c:pt>
                <c:pt idx="11">
                  <c:v>戏剧影视文学(电视剧创作)</c:v>
                </c:pt>
              </c:strCache>
            </c:strRef>
          </c:cat>
          <c:val>
            <c:numRef>
              <c:f>Sheet1!$B$2:$B$13</c:f>
              <c:numCache>
                <c:formatCode>0.0_);[Red]\(0.0\)</c:formatCode>
                <c:ptCount val="12"/>
                <c:pt idx="0">
                  <c:v>4.26</c:v>
                </c:pt>
                <c:pt idx="1">
                  <c:v>4.82</c:v>
                </c:pt>
                <c:pt idx="2">
                  <c:v>4.36</c:v>
                </c:pt>
                <c:pt idx="3">
                  <c:v>4</c:v>
                </c:pt>
                <c:pt idx="4">
                  <c:v>4.67</c:v>
                </c:pt>
                <c:pt idx="5">
                  <c:v>4.31</c:v>
                </c:pt>
                <c:pt idx="6">
                  <c:v>4.18</c:v>
                </c:pt>
                <c:pt idx="7">
                  <c:v>4.23</c:v>
                </c:pt>
                <c:pt idx="8">
                  <c:v>4.13</c:v>
                </c:pt>
                <c:pt idx="9">
                  <c:v>4.18</c:v>
                </c:pt>
                <c:pt idx="10">
                  <c:v>3.69</c:v>
                </c:pt>
                <c:pt idx="11">
                  <c:v>4.45</c:v>
                </c:pt>
              </c:numCache>
            </c:numRef>
          </c:val>
          <c:smooth val="0"/>
        </c:ser>
        <c:dLbls>
          <c:showLegendKey val="0"/>
          <c:showVal val="1"/>
          <c:showCatName val="0"/>
          <c:showSerName val="0"/>
          <c:showPercent val="0"/>
          <c:showBubbleSize val="0"/>
        </c:dLbls>
        <c:marker val="1"/>
        <c:smooth val="0"/>
        <c:axId val="326602752"/>
        <c:axId val="326605440"/>
      </c:lineChart>
      <c:catAx>
        <c:axId val="3266027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26605440"/>
        <c:crosses val="autoZero"/>
        <c:auto val="1"/>
        <c:lblAlgn val="ctr"/>
        <c:lblOffset val="100"/>
        <c:tickLblSkip val="1"/>
        <c:noMultiLvlLbl val="0"/>
      </c:catAx>
      <c:valAx>
        <c:axId val="3266054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_);[Red]\(0.0\)"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26602752"/>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c:f>
              <c:strCache>
                <c:ptCount val="1"/>
                <c:pt idx="0">
                  <c:v>最终落实</c:v>
                </c:pt>
              </c:strCache>
            </c:strRef>
          </c:tx>
          <c:spPr>
            <a:effectLst/>
          </c:spPr>
          <c:dLbls>
            <c:delete val="1"/>
          </c:dLbls>
          <c:cat>
            <c:strRef>
              <c:f>Sheet1!$B$1:$D$1</c:f>
              <c:strCache>
                <c:ptCount val="3"/>
                <c:pt idx="0">
                  <c:v>直辖市</c:v>
                </c:pt>
                <c:pt idx="1">
                  <c:v>副省级城市</c:v>
                </c:pt>
                <c:pt idx="2">
                  <c:v>地级城市及以下</c:v>
                </c:pt>
              </c:strCache>
            </c:strRef>
          </c:cat>
          <c:val>
            <c:numRef>
              <c:f>Sheet1!$B$2:$D$2</c:f>
              <c:numCache>
                <c:formatCode>0.00%</c:formatCode>
                <c:ptCount val="3"/>
                <c:pt idx="0">
                  <c:v>0.9</c:v>
                </c:pt>
                <c:pt idx="1">
                  <c:v>0.0667</c:v>
                </c:pt>
                <c:pt idx="2">
                  <c:v>0.0333</c:v>
                </c:pt>
              </c:numCache>
            </c:numRef>
          </c:val>
          <c:smooth val="0"/>
        </c:ser>
        <c:ser>
          <c:idx val="1"/>
          <c:order val="1"/>
          <c:tx>
            <c:strRef>
              <c:f>Sheet1!$A$3</c:f>
              <c:strCache>
                <c:ptCount val="1"/>
                <c:pt idx="0">
                  <c:v>期望首选</c:v>
                </c:pt>
              </c:strCache>
            </c:strRef>
          </c:tx>
          <c:spPr>
            <a:ln w="28575" cap="rnd" cmpd="sng" algn="ctr">
              <a:solidFill>
                <a:schemeClr val="accent5">
                  <a:tint val="77000"/>
                  <a:shade val="95000"/>
                  <a:satMod val="105000"/>
                </a:schemeClr>
              </a:solidFill>
              <a:prstDash val="solid"/>
              <a:round/>
            </a:ln>
            <a:effectLst/>
          </c:spPr>
          <c:marker>
            <c:spPr>
              <a:solidFill>
                <a:schemeClr val="accent5">
                  <a:tint val="77000"/>
                </a:schemeClr>
              </a:solidFill>
              <a:ln w="9525" cap="flat" cmpd="sng" algn="ctr">
                <a:solidFill>
                  <a:schemeClr val="accent5">
                    <a:tint val="77000"/>
                    <a:shade val="95000"/>
                    <a:satMod val="105000"/>
                  </a:schemeClr>
                </a:solidFill>
                <a:prstDash val="solid"/>
                <a:round/>
              </a:ln>
              <a:effectLst/>
            </c:spPr>
          </c:marker>
          <c:dLbls>
            <c:delete val="1"/>
          </c:dLbls>
          <c:cat>
            <c:strRef>
              <c:f>Sheet1!$B$1:$D$1</c:f>
              <c:strCache>
                <c:ptCount val="3"/>
                <c:pt idx="0">
                  <c:v>直辖市</c:v>
                </c:pt>
                <c:pt idx="1">
                  <c:v>副省级城市</c:v>
                </c:pt>
                <c:pt idx="2">
                  <c:v>地级城市及以下</c:v>
                </c:pt>
              </c:strCache>
            </c:strRef>
          </c:cat>
          <c:val>
            <c:numRef>
              <c:f>Sheet1!$B$3:$D$3</c:f>
              <c:numCache>
                <c:formatCode>0.00%</c:formatCode>
                <c:ptCount val="3"/>
                <c:pt idx="0">
                  <c:v>0.916700000000001</c:v>
                </c:pt>
                <c:pt idx="1">
                  <c:v>0.05</c:v>
                </c:pt>
                <c:pt idx="2">
                  <c:v>0.0333</c:v>
                </c:pt>
              </c:numCache>
            </c:numRef>
          </c:val>
          <c:smooth val="0"/>
        </c:ser>
        <c:dLbls>
          <c:showLegendKey val="0"/>
          <c:showVal val="0"/>
          <c:showCatName val="0"/>
          <c:showSerName val="0"/>
          <c:showPercent val="0"/>
          <c:showBubbleSize val="0"/>
        </c:dLbls>
        <c:marker val="1"/>
        <c:smooth val="0"/>
        <c:axId val="397595008"/>
        <c:axId val="397596928"/>
      </c:lineChart>
      <c:catAx>
        <c:axId val="39759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7596928"/>
        <c:crosses val="autoZero"/>
        <c:auto val="1"/>
        <c:lblAlgn val="ctr"/>
        <c:lblOffset val="100"/>
        <c:noMultiLvlLbl val="0"/>
      </c:catAx>
      <c:valAx>
        <c:axId val="397596928"/>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7595008"/>
        <c:crosses val="autoZero"/>
        <c:crossBetween val="between"/>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dTable>
      <c:spPr>
        <a:noFill/>
        <a:ln>
          <a:noFill/>
        </a:ln>
        <a:effectLst/>
      </c:spPr>
    </c:plotArea>
    <c:plotVisOnly val="1"/>
    <c:dispBlanksAs val="gap"/>
    <c:showDLblsOverMax val="0"/>
  </c:chart>
  <c:spPr>
    <a:no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c:f>
              <c:strCache>
                <c:ptCount val="1"/>
                <c:pt idx="0">
                  <c:v>最终落实</c:v>
                </c:pt>
              </c:strCache>
            </c:strRef>
          </c:tx>
          <c:spPr>
            <a:effectLst/>
          </c:spPr>
          <c:dLbls>
            <c:delete val="1"/>
          </c:dLbls>
          <c:cat>
            <c:strRef>
              <c:f>Sheet1!$B$1:$F$1</c:f>
              <c:strCache>
                <c:ptCount val="5"/>
                <c:pt idx="0">
                  <c:v>机关</c:v>
                </c:pt>
                <c:pt idx="1">
                  <c:v>事业单位</c:v>
                </c:pt>
                <c:pt idx="2">
                  <c:v>国有企业</c:v>
                </c:pt>
                <c:pt idx="3">
                  <c:v>民营/私营企业</c:v>
                </c:pt>
                <c:pt idx="4">
                  <c:v>其他</c:v>
                </c:pt>
              </c:strCache>
            </c:strRef>
          </c:cat>
          <c:val>
            <c:numRef>
              <c:f>Sheet1!$B$2:$F$2</c:f>
              <c:numCache>
                <c:formatCode>0.00%</c:formatCode>
                <c:ptCount val="5"/>
                <c:pt idx="0">
                  <c:v>0.0333</c:v>
                </c:pt>
                <c:pt idx="1">
                  <c:v>0.55</c:v>
                </c:pt>
                <c:pt idx="2">
                  <c:v>0.0833</c:v>
                </c:pt>
                <c:pt idx="3">
                  <c:v>0.2833</c:v>
                </c:pt>
                <c:pt idx="4">
                  <c:v>0.05</c:v>
                </c:pt>
              </c:numCache>
            </c:numRef>
          </c:val>
          <c:smooth val="0"/>
        </c:ser>
        <c:ser>
          <c:idx val="1"/>
          <c:order val="1"/>
          <c:tx>
            <c:strRef>
              <c:f>Sheet1!$A$3</c:f>
              <c:strCache>
                <c:ptCount val="1"/>
                <c:pt idx="0">
                  <c:v>期望首选</c:v>
                </c:pt>
              </c:strCache>
            </c:strRef>
          </c:tx>
          <c:spPr>
            <a:ln w="28575" cap="rnd" cmpd="sng" algn="ctr">
              <a:solidFill>
                <a:schemeClr val="accent5">
                  <a:tint val="77000"/>
                  <a:shade val="95000"/>
                  <a:satMod val="105000"/>
                </a:schemeClr>
              </a:solidFill>
              <a:prstDash val="solid"/>
              <a:round/>
            </a:ln>
            <a:effectLst/>
          </c:spPr>
          <c:marker>
            <c:spPr>
              <a:solidFill>
                <a:schemeClr val="accent5">
                  <a:tint val="77000"/>
                </a:schemeClr>
              </a:solidFill>
              <a:ln w="9525" cap="flat" cmpd="sng" algn="ctr">
                <a:solidFill>
                  <a:schemeClr val="accent5">
                    <a:tint val="77000"/>
                    <a:shade val="95000"/>
                    <a:satMod val="105000"/>
                  </a:schemeClr>
                </a:solidFill>
                <a:prstDash val="solid"/>
                <a:round/>
              </a:ln>
              <a:effectLst/>
            </c:spPr>
          </c:marker>
          <c:dLbls>
            <c:delete val="1"/>
          </c:dLbls>
          <c:cat>
            <c:strRef>
              <c:f>Sheet1!$B$1:$F$1</c:f>
              <c:strCache>
                <c:ptCount val="5"/>
                <c:pt idx="0">
                  <c:v>机关</c:v>
                </c:pt>
                <c:pt idx="1">
                  <c:v>事业单位</c:v>
                </c:pt>
                <c:pt idx="2">
                  <c:v>国有企业</c:v>
                </c:pt>
                <c:pt idx="3">
                  <c:v>民营/私营企业</c:v>
                </c:pt>
                <c:pt idx="4">
                  <c:v>其他</c:v>
                </c:pt>
              </c:strCache>
            </c:strRef>
          </c:cat>
          <c:val>
            <c:numRef>
              <c:f>Sheet1!$B$3:$F$3</c:f>
              <c:numCache>
                <c:formatCode>0.00%</c:formatCode>
                <c:ptCount val="5"/>
                <c:pt idx="0">
                  <c:v>0.0833</c:v>
                </c:pt>
                <c:pt idx="1">
                  <c:v>0.600000000000001</c:v>
                </c:pt>
                <c:pt idx="2">
                  <c:v>0.0833</c:v>
                </c:pt>
                <c:pt idx="3">
                  <c:v>0.2</c:v>
                </c:pt>
                <c:pt idx="4">
                  <c:v>0.0333</c:v>
                </c:pt>
              </c:numCache>
            </c:numRef>
          </c:val>
          <c:smooth val="0"/>
        </c:ser>
        <c:dLbls>
          <c:showLegendKey val="0"/>
          <c:showVal val="0"/>
          <c:showCatName val="0"/>
          <c:showSerName val="0"/>
          <c:showPercent val="0"/>
          <c:showBubbleSize val="0"/>
        </c:dLbls>
        <c:marker val="1"/>
        <c:smooth val="0"/>
        <c:axId val="397652352"/>
        <c:axId val="397654272"/>
      </c:lineChart>
      <c:catAx>
        <c:axId val="39765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7654272"/>
        <c:crosses val="autoZero"/>
        <c:auto val="1"/>
        <c:lblAlgn val="ctr"/>
        <c:lblOffset val="100"/>
        <c:noMultiLvlLbl val="0"/>
      </c:catAx>
      <c:valAx>
        <c:axId val="39765427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7652352"/>
        <c:crosses val="autoZero"/>
        <c:crossBetween val="between"/>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dTable>
      <c:spPr>
        <a:noFill/>
        <a:ln>
          <a:noFill/>
        </a:ln>
        <a:effectLst/>
      </c:spPr>
    </c:plotArea>
    <c:plotVisOnly val="1"/>
    <c:dispBlanksAs val="gap"/>
    <c:showDLblsOverMax val="0"/>
  </c:chart>
  <c:spPr>
    <a:no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c:f>
              <c:strCache>
                <c:ptCount val="1"/>
                <c:pt idx="0">
                  <c:v>最终落实</c:v>
                </c:pt>
              </c:strCache>
            </c:strRef>
          </c:tx>
          <c:spPr>
            <a:effectLst/>
          </c:spPr>
          <c:dLbls>
            <c:delete val="1"/>
          </c:dLbls>
          <c:cat>
            <c:strRef>
              <c:f>Sheet1!$B$1:$G$1</c:f>
              <c:strCache>
                <c:ptCount val="6"/>
                <c:pt idx="0">
                  <c:v>农、林、牧、渔业</c:v>
                </c:pt>
                <c:pt idx="1">
                  <c:v>信息产业</c:v>
                </c:pt>
                <c:pt idx="2">
                  <c:v>金融地产业</c:v>
                </c:pt>
                <c:pt idx="3">
                  <c:v>教育及科研行业</c:v>
                </c:pt>
                <c:pt idx="4">
                  <c:v>文化、体育和娱乐业</c:v>
                </c:pt>
                <c:pt idx="5">
                  <c:v>其他行业</c:v>
                </c:pt>
              </c:strCache>
            </c:strRef>
          </c:cat>
          <c:val>
            <c:numRef>
              <c:f>Sheet1!$B$2:$G$2</c:f>
              <c:numCache>
                <c:formatCode>0.00%</c:formatCode>
                <c:ptCount val="6"/>
                <c:pt idx="0">
                  <c:v>0.0167000000000001</c:v>
                </c:pt>
                <c:pt idx="1">
                  <c:v>0.0333</c:v>
                </c:pt>
                <c:pt idx="2">
                  <c:v>0.0167000000000001</c:v>
                </c:pt>
                <c:pt idx="3">
                  <c:v>0.333300000000002</c:v>
                </c:pt>
                <c:pt idx="4">
                  <c:v>0.583299999999999</c:v>
                </c:pt>
                <c:pt idx="5">
                  <c:v>0.0167000000000001</c:v>
                </c:pt>
              </c:numCache>
            </c:numRef>
          </c:val>
          <c:smooth val="0"/>
        </c:ser>
        <c:ser>
          <c:idx val="1"/>
          <c:order val="1"/>
          <c:tx>
            <c:strRef>
              <c:f>Sheet1!$A$3</c:f>
              <c:strCache>
                <c:ptCount val="1"/>
                <c:pt idx="0">
                  <c:v>期望首选</c:v>
                </c:pt>
              </c:strCache>
            </c:strRef>
          </c:tx>
          <c:spPr>
            <a:ln w="28575" cap="rnd" cmpd="sng" algn="ctr">
              <a:solidFill>
                <a:schemeClr val="accent5">
                  <a:tint val="77000"/>
                  <a:shade val="95000"/>
                  <a:satMod val="105000"/>
                </a:schemeClr>
              </a:solidFill>
              <a:prstDash val="solid"/>
              <a:round/>
            </a:ln>
            <a:effectLst/>
          </c:spPr>
          <c:marker>
            <c:spPr>
              <a:solidFill>
                <a:schemeClr val="accent5">
                  <a:tint val="77000"/>
                </a:schemeClr>
              </a:solidFill>
              <a:ln w="9525" cap="flat" cmpd="sng" algn="ctr">
                <a:solidFill>
                  <a:schemeClr val="accent5">
                    <a:tint val="77000"/>
                    <a:shade val="95000"/>
                    <a:satMod val="105000"/>
                  </a:schemeClr>
                </a:solidFill>
                <a:prstDash val="solid"/>
                <a:round/>
              </a:ln>
              <a:effectLst/>
            </c:spPr>
          </c:marker>
          <c:dLbls>
            <c:delete val="1"/>
          </c:dLbls>
          <c:cat>
            <c:strRef>
              <c:f>Sheet1!$B$1:$G$1</c:f>
              <c:strCache>
                <c:ptCount val="6"/>
                <c:pt idx="0">
                  <c:v>农、林、牧、渔业</c:v>
                </c:pt>
                <c:pt idx="1">
                  <c:v>信息产业</c:v>
                </c:pt>
                <c:pt idx="2">
                  <c:v>金融地产业</c:v>
                </c:pt>
                <c:pt idx="3">
                  <c:v>教育及科研行业</c:v>
                </c:pt>
                <c:pt idx="4">
                  <c:v>文化、体育和娱乐业</c:v>
                </c:pt>
                <c:pt idx="5">
                  <c:v>其他行业</c:v>
                </c:pt>
              </c:strCache>
            </c:strRef>
          </c:cat>
          <c:val>
            <c:numRef>
              <c:f>Sheet1!$B$3:$G$3</c:f>
              <c:numCache>
                <c:formatCode>0.00%</c:formatCode>
                <c:ptCount val="6"/>
                <c:pt idx="0">
                  <c:v>0.0167000000000001</c:v>
                </c:pt>
                <c:pt idx="2">
                  <c:v>0.0167000000000001</c:v>
                </c:pt>
                <c:pt idx="3">
                  <c:v>0.216700000000001</c:v>
                </c:pt>
                <c:pt idx="4">
                  <c:v>0.716700000000002</c:v>
                </c:pt>
                <c:pt idx="5">
                  <c:v>0.0333</c:v>
                </c:pt>
              </c:numCache>
            </c:numRef>
          </c:val>
          <c:smooth val="0"/>
        </c:ser>
        <c:dLbls>
          <c:showLegendKey val="0"/>
          <c:showVal val="0"/>
          <c:showCatName val="0"/>
          <c:showSerName val="0"/>
          <c:showPercent val="0"/>
          <c:showBubbleSize val="0"/>
        </c:dLbls>
        <c:marker val="1"/>
        <c:smooth val="0"/>
        <c:axId val="397717888"/>
        <c:axId val="397719808"/>
      </c:lineChart>
      <c:catAx>
        <c:axId val="39771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7719808"/>
        <c:crosses val="autoZero"/>
        <c:auto val="1"/>
        <c:lblAlgn val="ctr"/>
        <c:lblOffset val="100"/>
        <c:noMultiLvlLbl val="0"/>
      </c:catAx>
      <c:valAx>
        <c:axId val="397719808"/>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7717888"/>
        <c:crosses val="autoZero"/>
        <c:crossBetween val="between"/>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dTable>
      <c:spPr>
        <a:noFill/>
        <a:ln>
          <a:noFill/>
        </a:ln>
        <a:effectLst/>
      </c:spPr>
    </c:plotArea>
    <c:plotVisOnly val="1"/>
    <c:dispBlanksAs val="gap"/>
    <c:showDLblsOverMax val="0"/>
  </c:chart>
  <c:spPr>
    <a:no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755711335456109"/>
          <c:y val="0.0251858014240174"/>
          <c:w val="0.91606940981907"/>
          <c:h val="0.862654721961763"/>
        </c:manualLayout>
      </c:layout>
      <c:barChart>
        <c:barDir val="col"/>
        <c:grouping val="clustered"/>
        <c:varyColors val="0"/>
        <c:ser>
          <c:idx val="0"/>
          <c:order val="0"/>
          <c:tx>
            <c:strRef>
              <c:f>Sheet1!$B$1</c:f>
              <c:strCache>
                <c:ptCount val="1"/>
                <c:pt idx="0">
                  <c:v/>
                </c:pt>
              </c:strCache>
            </c:strRef>
          </c:tx>
          <c:spPr>
            <a:solidFill>
              <a:schemeClr val="accent5">
                <a:alpha val="80000"/>
              </a:schemeClr>
            </a:solidFill>
            <a:ln>
              <a:noFill/>
            </a:ln>
            <a:effectLst/>
          </c:spPr>
          <c:invertIfNegative val="0"/>
          <c:dPt>
            <c:idx val="0"/>
            <c:invertIfNegative val="0"/>
            <c:bubble3D val="0"/>
            <c:spPr>
              <a:solidFill>
                <a:srgbClr val="358DA5">
                  <a:alpha val="80000"/>
                </a:srgbClr>
              </a:solidFill>
              <a:ln>
                <a:noFill/>
              </a:ln>
              <a:effectLst/>
            </c:spPr>
          </c:dPt>
          <c:dPt>
            <c:idx val="1"/>
            <c:invertIfNegative val="0"/>
            <c:bubble3D val="0"/>
            <c:spPr>
              <a:solidFill>
                <a:srgbClr val="358DA5">
                  <a:alpha val="80000"/>
                </a:srgbClr>
              </a:solidFill>
              <a:ln>
                <a:noFill/>
              </a:ln>
              <a:effectLst/>
            </c:spPr>
          </c:dPt>
          <c:dPt>
            <c:idx val="3"/>
            <c:invertIfNegative val="0"/>
            <c:bubble3D val="0"/>
            <c:spPr>
              <a:solidFill>
                <a:schemeClr val="accent5">
                  <a:lumMod val="60000"/>
                  <a:lumOff val="40000"/>
                  <a:alpha val="80000"/>
                </a:schemeClr>
              </a:solidFill>
              <a:ln>
                <a:noFill/>
              </a:ln>
              <a:effectLst/>
            </c:spPr>
          </c:dPt>
          <c:dLbls>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ln>
                      <a:noFill/>
                    </a:ln>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0"/>
                <c15:leaderLines/>
              </c:ext>
            </c:extLst>
          </c:dLbls>
          <c:cat>
            <c:strRef>
              <c:f>Sheet1!$A$2:$A$5</c:f>
              <c:strCache>
                <c:ptCount val="4"/>
                <c:pt idx="0">
                  <c:v>很满意</c:v>
                </c:pt>
                <c:pt idx="1">
                  <c:v>满意</c:v>
                </c:pt>
                <c:pt idx="2">
                  <c:v>不好说</c:v>
                </c:pt>
                <c:pt idx="3">
                  <c:v>不满意</c:v>
                </c:pt>
              </c:strCache>
            </c:strRef>
          </c:cat>
          <c:val>
            <c:numRef>
              <c:f>Sheet1!$B$2:$B$5</c:f>
              <c:numCache>
                <c:formatCode>0.0%</c:formatCode>
                <c:ptCount val="4"/>
                <c:pt idx="0">
                  <c:v>0.333000000000001</c:v>
                </c:pt>
                <c:pt idx="1">
                  <c:v>0.417</c:v>
                </c:pt>
                <c:pt idx="2">
                  <c:v>0.217</c:v>
                </c:pt>
                <c:pt idx="3">
                  <c:v>0.033</c:v>
                </c:pt>
              </c:numCache>
            </c:numRef>
          </c:val>
          <c:extLst>
            <c:ext xmlns:c15="http://schemas.microsoft.com/office/drawing/2012/chart" uri="{02D57815-91ED-43cb-92C2-25804820EDAC}">
              <c15:datalabelsRange>
                <c15:f>Sheet1!$C$2:$C$6</c15:f>
                <c15:dlblRangeCache>
                  <c:ptCount val="5"/>
                </c15:dlblRangeCache>
              </c15:datalabelsRange>
            </c:ext>
          </c:extLst>
        </c:ser>
        <c:dLbls>
          <c:showLegendKey val="0"/>
          <c:showVal val="0"/>
          <c:showCatName val="0"/>
          <c:showSerName val="0"/>
          <c:showPercent val="0"/>
          <c:showBubbleSize val="0"/>
        </c:dLbls>
        <c:gapWidth val="182"/>
        <c:axId val="397793536"/>
        <c:axId val="397799424"/>
      </c:barChart>
      <c:catAx>
        <c:axId val="3977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97799424"/>
        <c:crosses val="autoZero"/>
        <c:auto val="1"/>
        <c:lblAlgn val="ctr"/>
        <c:lblOffset val="100"/>
        <c:noMultiLvlLbl val="0"/>
      </c:catAx>
      <c:valAx>
        <c:axId val="397799424"/>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97793536"/>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ln>
            <a:noFill/>
          </a:ln>
        </a:defRPr>
      </a:pPr>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10734463276838"/>
          <c:y val="0.0547263681592041"/>
          <c:w val="0.953528328824055"/>
          <c:h val="0.772541168084668"/>
        </c:manualLayout>
      </c:layout>
      <c:lineChart>
        <c:grouping val="standard"/>
        <c:varyColors val="0"/>
        <c:ser>
          <c:idx val="0"/>
          <c:order val="0"/>
          <c:tx>
            <c:strRef>
              <c:f>Sheet1!$B$1</c:f>
              <c:strCache>
                <c:ptCount val="1"/>
                <c:pt idx="0">
                  <c:v/>
                </c:pt>
              </c:strCache>
            </c:strRef>
          </c:tx>
          <c:spPr>
            <a:ln w="31750" cap="rnd" cmpd="sng" algn="ctr">
              <a:solidFill>
                <a:schemeClr val="accent5"/>
              </a:solidFill>
              <a:prstDash val="solid"/>
              <a:round/>
            </a:ln>
            <a:effectLst/>
          </c:spPr>
          <c:marker>
            <c:symbol val="circle"/>
            <c:size val="17"/>
            <c:spPr>
              <a:solidFill>
                <a:schemeClr val="accent5"/>
              </a:solidFill>
              <a:ln w="9525" cap="flat" cmpd="sng" algn="ctr">
                <a:noFill/>
                <a:prstDash val="solid"/>
                <a:round/>
              </a:ln>
              <a:effectLst/>
            </c:spPr>
          </c:marker>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Sheet1!$A$2:$A$4</c:f>
              <c:strCache>
                <c:ptCount val="3"/>
                <c:pt idx="0">
                  <c:v>戏剧</c:v>
                </c:pt>
                <c:pt idx="1">
                  <c:v>戏剧与影视学</c:v>
                </c:pt>
                <c:pt idx="2">
                  <c:v>艺术学理论</c:v>
                </c:pt>
              </c:strCache>
            </c:strRef>
          </c:cat>
          <c:val>
            <c:numRef>
              <c:f>Sheet1!$B$2:$B$4</c:f>
              <c:numCache>
                <c:formatCode>0.0_);[Red]\(0.0\)</c:formatCode>
                <c:ptCount val="3"/>
                <c:pt idx="0">
                  <c:v>4.27</c:v>
                </c:pt>
                <c:pt idx="1">
                  <c:v>3.84</c:v>
                </c:pt>
                <c:pt idx="2">
                  <c:v>4</c:v>
                </c:pt>
              </c:numCache>
            </c:numRef>
          </c:val>
          <c:smooth val="0"/>
        </c:ser>
        <c:dLbls>
          <c:showLegendKey val="0"/>
          <c:showVal val="1"/>
          <c:showCatName val="0"/>
          <c:showSerName val="0"/>
          <c:showPercent val="0"/>
          <c:showBubbleSize val="0"/>
        </c:dLbls>
        <c:marker val="1"/>
        <c:smooth val="0"/>
        <c:axId val="397805440"/>
        <c:axId val="397845248"/>
      </c:lineChart>
      <c:catAx>
        <c:axId val="3978054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97845248"/>
        <c:crosses val="autoZero"/>
        <c:auto val="1"/>
        <c:lblAlgn val="ctr"/>
        <c:lblOffset val="100"/>
        <c:tickLblSkip val="1"/>
        <c:noMultiLvlLbl val="0"/>
      </c:catAx>
      <c:valAx>
        <c:axId val="3978452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_);[Red]\(0.0\)"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97805440"/>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10734463276838"/>
          <c:y val="0.0547263681592041"/>
          <c:w val="0.953528328824055"/>
          <c:h val="0.608090748313116"/>
        </c:manualLayout>
      </c:layout>
      <c:lineChart>
        <c:grouping val="standard"/>
        <c:varyColors val="0"/>
        <c:ser>
          <c:idx val="0"/>
          <c:order val="0"/>
          <c:tx>
            <c:strRef>
              <c:f>Sheet1!$B$1</c:f>
              <c:strCache>
                <c:ptCount val="1"/>
                <c:pt idx="0">
                  <c:v/>
                </c:pt>
              </c:strCache>
            </c:strRef>
          </c:tx>
          <c:spPr>
            <a:ln w="31750" cap="rnd" cmpd="sng" algn="ctr">
              <a:solidFill>
                <a:schemeClr val="accent5"/>
              </a:solidFill>
              <a:prstDash val="solid"/>
              <a:round/>
            </a:ln>
            <a:effectLst/>
          </c:spPr>
          <c:marker>
            <c:symbol val="circle"/>
            <c:size val="17"/>
            <c:spPr>
              <a:solidFill>
                <a:schemeClr val="accent5"/>
              </a:solidFill>
              <a:ln w="9525" cap="flat" cmpd="sng" algn="ctr">
                <a:noFill/>
                <a:prstDash val="solid"/>
                <a:round/>
              </a:ln>
              <a:effectLst/>
            </c:spPr>
          </c:marker>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Sheet1!$A$2:$A$3</c:f>
              <c:strCache>
                <c:ptCount val="2"/>
                <c:pt idx="0">
                  <c:v>戏剧与影视学</c:v>
                </c:pt>
                <c:pt idx="1">
                  <c:v>艺术学理论</c:v>
                </c:pt>
              </c:strCache>
            </c:strRef>
          </c:cat>
          <c:val>
            <c:numRef>
              <c:f>Sheet1!$B$2:$B$3</c:f>
              <c:numCache>
                <c:formatCode>0.0_);[Red]\(0.0\)</c:formatCode>
                <c:ptCount val="2"/>
                <c:pt idx="0">
                  <c:v>4.3</c:v>
                </c:pt>
                <c:pt idx="1">
                  <c:v>4</c:v>
                </c:pt>
              </c:numCache>
            </c:numRef>
          </c:val>
          <c:smooth val="0"/>
        </c:ser>
        <c:dLbls>
          <c:showLegendKey val="0"/>
          <c:showVal val="1"/>
          <c:showCatName val="0"/>
          <c:showSerName val="0"/>
          <c:showPercent val="0"/>
          <c:showBubbleSize val="0"/>
        </c:dLbls>
        <c:marker val="1"/>
        <c:smooth val="0"/>
        <c:axId val="398224768"/>
        <c:axId val="398244096"/>
      </c:lineChart>
      <c:catAx>
        <c:axId val="3982247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98244096"/>
        <c:crosses val="autoZero"/>
        <c:auto val="1"/>
        <c:lblAlgn val="ctr"/>
        <c:lblOffset val="100"/>
        <c:tickLblSkip val="1"/>
        <c:noMultiLvlLbl val="0"/>
      </c:catAx>
      <c:valAx>
        <c:axId val="3982440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_);[Red]\(0.0\)"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98224768"/>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0755711335456109"/>
          <c:y val="0.0251858014240174"/>
          <c:w val="0.91606940981907"/>
          <c:h val="0.772504811898514"/>
        </c:manualLayout>
      </c:layout>
      <c:barChart>
        <c:barDir val="col"/>
        <c:grouping val="clustered"/>
        <c:varyColors val="0"/>
        <c:ser>
          <c:idx val="0"/>
          <c:order val="0"/>
          <c:tx>
            <c:strRef>
              <c:f>Sheet1!$B$1</c:f>
              <c:strCache>
                <c:ptCount val="1"/>
                <c:pt idx="0">
                  <c:v>2016届</c:v>
                </c:pt>
              </c:strCache>
            </c:strRef>
          </c:tx>
          <c:spPr>
            <a:solidFill>
              <a:schemeClr val="accent5">
                <a:alpha val="80000"/>
              </a:schemeClr>
            </a:solidFill>
            <a:ln>
              <a:noFill/>
            </a:ln>
            <a:effectLst/>
          </c:spPr>
          <c:invertIfNegative val="0"/>
          <c:dLbls>
            <c:dLbl>
              <c:idx val="0"/>
              <c:layout>
                <c:manualLayout>
                  <c:x val="-0.0101445599797109"/>
                  <c:y val="0.011111111111111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26806999746386"/>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01445599797109"/>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ln>
                      <a:noFill/>
                    </a:ln>
                    <a:solidFill>
                      <a:schemeClr val="tx1">
                        <a:lumMod val="65000"/>
                        <a:lumOff val="3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Sheet1!$A$2:$A$5</c:f>
              <c:strCache>
                <c:ptCount val="4"/>
                <c:pt idx="0">
                  <c:v>很满意</c:v>
                </c:pt>
                <c:pt idx="1">
                  <c:v>满意</c:v>
                </c:pt>
                <c:pt idx="2">
                  <c:v>不好说</c:v>
                </c:pt>
                <c:pt idx="3">
                  <c:v>不满意</c:v>
                </c:pt>
              </c:strCache>
            </c:strRef>
          </c:cat>
          <c:val>
            <c:numRef>
              <c:f>Sheet1!$B$2:$B$5</c:f>
              <c:numCache>
                <c:formatCode>###0.00%</c:formatCode>
                <c:ptCount val="4"/>
                <c:pt idx="0">
                  <c:v>0.357142857142858</c:v>
                </c:pt>
                <c:pt idx="1">
                  <c:v>0.535714285714286</c:v>
                </c:pt>
                <c:pt idx="2">
                  <c:v>0.107142857142857</c:v>
                </c:pt>
                <c:pt idx="3">
                  <c:v>0</c:v>
                </c:pt>
              </c:numCache>
            </c:numRef>
          </c:val>
        </c:ser>
        <c:ser>
          <c:idx val="1"/>
          <c:order val="1"/>
          <c:tx>
            <c:strRef>
              <c:f>Sheet1!$C$1</c:f>
              <c:strCache>
                <c:ptCount val="1"/>
                <c:pt idx="0">
                  <c:v>2017届</c:v>
                </c:pt>
              </c:strCache>
            </c:strRef>
          </c:tx>
          <c:invertIfNegative val="0"/>
          <c:dLbls>
            <c:dLbl>
              <c:idx val="0"/>
              <c:layout>
                <c:manualLayout>
                  <c:x val="0.0152168399695663"/>
                  <c:y val="0.011111111111111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52168399695664"/>
                  <c:y val="0.01666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52168399695663"/>
                  <c:y val="0.0055555555555554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ln>
                      <a:noFill/>
                    </a:ln>
                    <a:solidFill>
                      <a:schemeClr val="tx1">
                        <a:lumMod val="65000"/>
                        <a:lumOff val="3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Sheet1!$A$2:$A$5</c:f>
              <c:strCache>
                <c:ptCount val="4"/>
                <c:pt idx="0">
                  <c:v>很满意</c:v>
                </c:pt>
                <c:pt idx="1">
                  <c:v>满意</c:v>
                </c:pt>
                <c:pt idx="2">
                  <c:v>不好说</c:v>
                </c:pt>
                <c:pt idx="3">
                  <c:v>不满意</c:v>
                </c:pt>
              </c:strCache>
            </c:strRef>
          </c:cat>
          <c:val>
            <c:numRef>
              <c:f>Sheet1!$C$2:$C$5</c:f>
              <c:numCache>
                <c:formatCode>0.00%</c:formatCode>
                <c:ptCount val="4"/>
                <c:pt idx="0">
                  <c:v>0.333000000000001</c:v>
                </c:pt>
                <c:pt idx="1">
                  <c:v>0.417</c:v>
                </c:pt>
                <c:pt idx="2">
                  <c:v>0.217</c:v>
                </c:pt>
                <c:pt idx="3">
                  <c:v>0.033</c:v>
                </c:pt>
              </c:numCache>
            </c:numRef>
          </c:val>
        </c:ser>
        <c:dLbls>
          <c:showLegendKey val="0"/>
          <c:showVal val="1"/>
          <c:showCatName val="0"/>
          <c:showSerName val="0"/>
          <c:showPercent val="0"/>
          <c:showBubbleSize val="0"/>
        </c:dLbls>
        <c:gapWidth val="129"/>
        <c:overlap val="-10"/>
        <c:axId val="397888512"/>
        <c:axId val="397894400"/>
      </c:barChart>
      <c:catAx>
        <c:axId val="39788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1000" b="0" i="0" u="none" strike="noStrike" kern="1200" baseline="0">
                <a:ln>
                  <a:noFill/>
                </a:ln>
                <a:solidFill>
                  <a:schemeClr val="tx1">
                    <a:lumMod val="65000"/>
                    <a:lumOff val="35000"/>
                  </a:schemeClr>
                </a:solidFill>
                <a:latin typeface="+mn-lt"/>
                <a:ea typeface="+mn-ea"/>
                <a:cs typeface="+mn-cs"/>
              </a:defRPr>
            </a:pPr>
          </a:p>
        </c:txPr>
        <c:crossAx val="397894400"/>
        <c:crosses val="autoZero"/>
        <c:auto val="1"/>
        <c:lblAlgn val="ctr"/>
        <c:lblOffset val="100"/>
        <c:noMultiLvlLbl val="0"/>
      </c:catAx>
      <c:valAx>
        <c:axId val="397894400"/>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1000" b="0" i="0" u="none" strike="noStrike" kern="1200" baseline="0">
                <a:ln>
                  <a:noFill/>
                </a:ln>
                <a:solidFill>
                  <a:schemeClr val="tx1">
                    <a:lumMod val="65000"/>
                    <a:lumOff val="35000"/>
                  </a:schemeClr>
                </a:solidFill>
                <a:latin typeface="+mn-lt"/>
                <a:ea typeface="+mn-ea"/>
                <a:cs typeface="+mn-cs"/>
              </a:defRPr>
            </a:pPr>
          </a:p>
        </c:txPr>
        <c:crossAx val="397888512"/>
        <c:crosses val="autoZero"/>
        <c:crossBetween val="between"/>
      </c:valAx>
      <c:spPr>
        <a:noFill/>
        <a:ln>
          <a:noFill/>
        </a:ln>
        <a:effectLst/>
      </c:spPr>
    </c:plotArea>
    <c:legend>
      <c:legendPos val="b"/>
      <c:layout/>
      <c:overlay val="0"/>
      <c:txPr>
        <a:bodyPr rot="0" spcFirstLastPara="0" vertOverflow="ellipsis" vert="horz" wrap="square" anchor="ctr" anchorCtr="1"/>
        <a:lstStyle/>
        <a:p>
          <a:pPr>
            <a:defRPr lang="zh-CN" sz="1000" b="0" i="0" u="none" strike="noStrike" kern="1200" baseline="0">
              <a:ln>
                <a:noFill/>
              </a:ln>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prstDash val="solid"/>
      <a:round/>
    </a:ln>
    <a:effectLst/>
  </c:spPr>
  <c:txPr>
    <a:bodyPr/>
    <a:lstStyle/>
    <a:p>
      <a:pPr>
        <a:defRPr lang="zh-CN">
          <a:ln>
            <a:noFill/>
          </a:ln>
          <a:solidFill>
            <a:schemeClr val="tx1">
              <a:lumMod val="65000"/>
              <a:lumOff val="35000"/>
            </a:schemeClr>
          </a:solidFill>
        </a:defRPr>
      </a:pPr>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55711335456109"/>
          <c:y val="0.0251858014240174"/>
          <c:w val="0.91606940981907"/>
          <c:h val="0.857855474257449"/>
        </c:manualLayout>
      </c:layout>
      <c:barChart>
        <c:barDir val="col"/>
        <c:grouping val="clustered"/>
        <c:varyColors val="0"/>
        <c:ser>
          <c:idx val="0"/>
          <c:order val="0"/>
          <c:tx>
            <c:strRef>
              <c:f>Sheet1!$B$1</c:f>
              <c:strCache>
                <c:ptCount val="1"/>
                <c:pt idx="0">
                  <c:v/>
                </c:pt>
              </c:strCache>
            </c:strRef>
          </c:tx>
          <c:spPr>
            <a:solidFill>
              <a:schemeClr val="accent5">
                <a:alpha val="85000"/>
              </a:schemeClr>
            </a:solidFill>
            <a:ln w="9525" cap="flat" cmpd="sng" algn="ctr">
              <a:solidFill>
                <a:schemeClr val="lt1">
                  <a:alpha val="50000"/>
                </a:schemeClr>
              </a:solidFill>
              <a:round/>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期望</c:v>
                </c:pt>
                <c:pt idx="1">
                  <c:v>落实</c:v>
                </c:pt>
              </c:strCache>
            </c:strRef>
          </c:cat>
          <c:val>
            <c:numRef>
              <c:f>Sheet1!$B$2:$B$3</c:f>
              <c:numCache>
                <c:formatCode>General</c:formatCode>
                <c:ptCount val="2"/>
                <c:pt idx="0">
                  <c:v>13.93</c:v>
                </c:pt>
                <c:pt idx="1">
                  <c:v>10.17</c:v>
                </c:pt>
              </c:numCache>
            </c:numRef>
          </c:val>
        </c:ser>
        <c:dLbls>
          <c:showLegendKey val="0"/>
          <c:showVal val="1"/>
          <c:showCatName val="0"/>
          <c:showSerName val="0"/>
          <c:showPercent val="0"/>
          <c:showBubbleSize val="0"/>
        </c:dLbls>
        <c:gapWidth val="65"/>
        <c:axId val="398368768"/>
        <c:axId val="398371456"/>
      </c:barChart>
      <c:catAx>
        <c:axId val="398368768"/>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98371456"/>
        <c:crosses val="autoZero"/>
        <c:auto val="1"/>
        <c:lblAlgn val="ctr"/>
        <c:lblOffset val="100"/>
        <c:noMultiLvlLbl val="0"/>
      </c:catAx>
      <c:valAx>
        <c:axId val="39837145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_);[Red]\(#,##0.0\)" sourceLinked="0"/>
        <c:majorTickMark val="out"/>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crossAx val="398368768"/>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1"/>
          <c:order val="1"/>
          <c:tx>
            <c:strRef>
              <c:f>Sheet1!$A$3</c:f>
              <c:strCache>
                <c:ptCount val="1"/>
                <c:pt idx="0">
                  <c:v>最终落实</c:v>
                </c:pt>
              </c:strCache>
            </c:strRef>
          </c:tx>
          <c:spPr>
            <a:solidFill>
              <a:schemeClr val="accent5">
                <a:shade val="76000"/>
              </a:schemeClr>
            </a:solidFill>
            <a:ln>
              <a:noFill/>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baseline="0">
                    <a:solidFill>
                      <a:schemeClr val="bg1"/>
                    </a:solidFill>
                    <a:latin typeface="+mn-lt"/>
                    <a:ea typeface="+mn-ea"/>
                    <a:cs typeface="+mn-cs"/>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Sheet1!$B$1:$D$1</c:f>
              <c:strCache>
                <c:ptCount val="3"/>
                <c:pt idx="0">
                  <c:v>戏剧</c:v>
                </c:pt>
                <c:pt idx="1">
                  <c:v>戏剧与影视学</c:v>
                </c:pt>
                <c:pt idx="2">
                  <c:v>艺术学理论</c:v>
                </c:pt>
              </c:strCache>
            </c:strRef>
          </c:cat>
          <c:val>
            <c:numRef>
              <c:f>Sheet1!$B$3:$D$3</c:f>
              <c:numCache>
                <c:formatCode>0.00_);[Red]\(0.00\)</c:formatCode>
                <c:ptCount val="3"/>
                <c:pt idx="0">
                  <c:v>11.73</c:v>
                </c:pt>
                <c:pt idx="1">
                  <c:v>8.87</c:v>
                </c:pt>
                <c:pt idx="2">
                  <c:v>12.83</c:v>
                </c:pt>
              </c:numCache>
            </c:numRef>
          </c:val>
        </c:ser>
        <c:dLbls>
          <c:showLegendKey val="0"/>
          <c:showVal val="0"/>
          <c:showCatName val="0"/>
          <c:showSerName val="0"/>
          <c:showPercent val="0"/>
          <c:showBubbleSize val="0"/>
        </c:dLbls>
        <c:gapWidth val="110"/>
        <c:axId val="397965568"/>
        <c:axId val="397964032"/>
      </c:barChart>
      <c:lineChart>
        <c:grouping val="standard"/>
        <c:varyColors val="0"/>
        <c:ser>
          <c:idx val="0"/>
          <c:order val="0"/>
          <c:tx>
            <c:strRef>
              <c:f>Sheet1!$A$2</c:f>
              <c:strCache>
                <c:ptCount val="1"/>
                <c:pt idx="0">
                  <c:v>期望与实际的差异</c:v>
                </c:pt>
              </c:strCache>
            </c:strRef>
          </c:tx>
          <c:spPr>
            <a:ln w="28575" cap="rnd" cmpd="sng" algn="ctr">
              <a:solidFill>
                <a:schemeClr val="accent5">
                  <a:tint val="77000"/>
                  <a:shade val="95000"/>
                  <a:satMod val="105000"/>
                </a:schemeClr>
              </a:solidFill>
              <a:prstDash val="solid"/>
              <a:round/>
            </a:ln>
            <a:effectLst/>
          </c:spPr>
          <c:marker>
            <c:spPr>
              <a:solidFill>
                <a:schemeClr val="accent5">
                  <a:tint val="77000"/>
                </a:schemeClr>
              </a:solidFill>
              <a:ln w="9525" cap="flat" cmpd="sng" algn="ctr">
                <a:solidFill>
                  <a:schemeClr val="accent5">
                    <a:tint val="77000"/>
                    <a:shade val="95000"/>
                    <a:satMod val="105000"/>
                  </a:schemeClr>
                </a:solidFill>
                <a:prstDash val="solid"/>
                <a:round/>
              </a:ln>
              <a:effectLst/>
            </c:spPr>
          </c:marker>
          <c:dLbls>
            <c:numFmt formatCode="#,##0.00_ " sourceLinked="0"/>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Sheet1!$B$1:$D$1</c:f>
              <c:strCache>
                <c:ptCount val="3"/>
                <c:pt idx="0">
                  <c:v>戏剧</c:v>
                </c:pt>
                <c:pt idx="1">
                  <c:v>戏剧与影视学</c:v>
                </c:pt>
                <c:pt idx="2">
                  <c:v>艺术学理论</c:v>
                </c:pt>
              </c:strCache>
            </c:strRef>
          </c:cat>
          <c:val>
            <c:numRef>
              <c:f>Sheet1!$B$2:$D$2</c:f>
              <c:numCache>
                <c:formatCode>0.00_ </c:formatCode>
                <c:ptCount val="3"/>
                <c:pt idx="0">
                  <c:v>3.13</c:v>
                </c:pt>
                <c:pt idx="1">
                  <c:v>4.81</c:v>
                </c:pt>
                <c:pt idx="2">
                  <c:v>1</c:v>
                </c:pt>
              </c:numCache>
            </c:numRef>
          </c:val>
          <c:smooth val="0"/>
        </c:ser>
        <c:dLbls>
          <c:showLegendKey val="0"/>
          <c:showVal val="0"/>
          <c:showCatName val="0"/>
          <c:showSerName val="0"/>
          <c:showPercent val="0"/>
          <c:showBubbleSize val="0"/>
        </c:dLbls>
        <c:marker val="1"/>
        <c:smooth val="0"/>
        <c:axId val="397948416"/>
        <c:axId val="397949952"/>
      </c:lineChart>
      <c:catAx>
        <c:axId val="3979484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7949952"/>
        <c:crosses val="autoZero"/>
        <c:auto val="1"/>
        <c:lblAlgn val="ctr"/>
        <c:lblOffset val="100"/>
        <c:tickLblSkip val="1"/>
        <c:noMultiLvlLbl val="0"/>
      </c:catAx>
      <c:valAx>
        <c:axId val="39794995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0_ "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7948416"/>
        <c:crosses val="autoZero"/>
        <c:crossBetween val="between"/>
      </c:valAx>
      <c:catAx>
        <c:axId val="397965568"/>
        <c:scaling>
          <c:orientation val="minMax"/>
        </c:scaling>
        <c:delete val="1"/>
        <c:axPos val="b"/>
        <c:numFmt formatCode="General" sourceLinked="1"/>
        <c:majorTickMark val="out"/>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97964032"/>
        <c:crosses val="autoZero"/>
        <c:auto val="1"/>
        <c:lblAlgn val="ctr"/>
        <c:lblOffset val="100"/>
        <c:noMultiLvlLbl val="0"/>
      </c:catAx>
      <c:valAx>
        <c:axId val="397964032"/>
        <c:scaling>
          <c:orientation val="minMax"/>
        </c:scaling>
        <c:delete val="0"/>
        <c:axPos val="r"/>
        <c:numFmt formatCode="#,##0.00_);[Red]\(#,##0.0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97965568"/>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no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1"/>
          <c:order val="1"/>
          <c:tx>
            <c:strRef>
              <c:f>Sheet1!$A$3</c:f>
              <c:strCache>
                <c:ptCount val="1"/>
                <c:pt idx="0">
                  <c:v>最终落实</c:v>
                </c:pt>
              </c:strCache>
            </c:strRef>
          </c:tx>
          <c:spPr>
            <a:solidFill>
              <a:schemeClr val="accent5">
                <a:shade val="76000"/>
              </a:schemeClr>
            </a:solidFill>
            <a:ln>
              <a:noFill/>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baseline="0">
                    <a:solidFill>
                      <a:schemeClr val="bg1"/>
                    </a:solidFill>
                    <a:latin typeface="+mn-lt"/>
                    <a:ea typeface="+mn-ea"/>
                    <a:cs typeface="+mn-cs"/>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Sheet1!$B$1:$C$1</c:f>
              <c:strCache>
                <c:ptCount val="2"/>
                <c:pt idx="0">
                  <c:v>戏剧与影视学</c:v>
                </c:pt>
                <c:pt idx="1">
                  <c:v>艺术学理论</c:v>
                </c:pt>
              </c:strCache>
            </c:strRef>
          </c:cat>
          <c:val>
            <c:numRef>
              <c:f>Sheet1!$B$3:$C$3</c:f>
              <c:numCache>
                <c:formatCode>0.00_);[Red]\(0.00\)</c:formatCode>
                <c:ptCount val="2"/>
                <c:pt idx="0">
                  <c:v>11</c:v>
                </c:pt>
                <c:pt idx="1">
                  <c:v>5.75</c:v>
                </c:pt>
              </c:numCache>
            </c:numRef>
          </c:val>
        </c:ser>
        <c:dLbls>
          <c:showLegendKey val="0"/>
          <c:showVal val="0"/>
          <c:showCatName val="0"/>
          <c:showSerName val="0"/>
          <c:showPercent val="0"/>
          <c:showBubbleSize val="0"/>
        </c:dLbls>
        <c:gapWidth val="110"/>
        <c:axId val="397162752"/>
        <c:axId val="397161216"/>
      </c:barChart>
      <c:lineChart>
        <c:grouping val="standard"/>
        <c:varyColors val="0"/>
        <c:ser>
          <c:idx val="0"/>
          <c:order val="0"/>
          <c:tx>
            <c:strRef>
              <c:f>Sheet1!$A$2</c:f>
              <c:strCache>
                <c:ptCount val="1"/>
                <c:pt idx="0">
                  <c:v>期望与实际的差异</c:v>
                </c:pt>
              </c:strCache>
            </c:strRef>
          </c:tx>
          <c:spPr>
            <a:ln w="28575" cap="rnd" cmpd="sng" algn="ctr">
              <a:solidFill>
                <a:schemeClr val="accent5">
                  <a:tint val="77000"/>
                  <a:shade val="95000"/>
                  <a:satMod val="105000"/>
                </a:schemeClr>
              </a:solidFill>
              <a:prstDash val="solid"/>
              <a:round/>
            </a:ln>
            <a:effectLst/>
          </c:spPr>
          <c:marker>
            <c:spPr>
              <a:solidFill>
                <a:schemeClr val="accent5">
                  <a:tint val="77000"/>
                </a:schemeClr>
              </a:solidFill>
              <a:ln w="9525" cap="flat" cmpd="sng" algn="ctr">
                <a:solidFill>
                  <a:schemeClr val="accent5">
                    <a:tint val="77000"/>
                    <a:shade val="95000"/>
                    <a:satMod val="105000"/>
                  </a:schemeClr>
                </a:solidFill>
                <a:prstDash val="solid"/>
                <a:round/>
              </a:ln>
              <a:effectLst/>
            </c:spPr>
          </c:marker>
          <c:dLbls>
            <c:numFmt formatCode="#,##0.00_ " sourceLinked="0"/>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Sheet1!$B$1:$C$1</c:f>
              <c:strCache>
                <c:ptCount val="2"/>
                <c:pt idx="0">
                  <c:v>戏剧与影视学</c:v>
                </c:pt>
                <c:pt idx="1">
                  <c:v>艺术学理论</c:v>
                </c:pt>
              </c:strCache>
            </c:strRef>
          </c:cat>
          <c:val>
            <c:numRef>
              <c:f>Sheet1!$B$2:$C$2</c:f>
              <c:numCache>
                <c:formatCode>0.00_ </c:formatCode>
                <c:ptCount val="2"/>
                <c:pt idx="0">
                  <c:v>5</c:v>
                </c:pt>
                <c:pt idx="1">
                  <c:v>1.25</c:v>
                </c:pt>
              </c:numCache>
            </c:numRef>
          </c:val>
          <c:smooth val="0"/>
        </c:ser>
        <c:dLbls>
          <c:showLegendKey val="0"/>
          <c:showVal val="0"/>
          <c:showCatName val="0"/>
          <c:showSerName val="0"/>
          <c:showPercent val="0"/>
          <c:showBubbleSize val="0"/>
        </c:dLbls>
        <c:marker val="1"/>
        <c:smooth val="0"/>
        <c:axId val="398575104"/>
        <c:axId val="398576640"/>
      </c:lineChart>
      <c:catAx>
        <c:axId val="3985751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8576640"/>
        <c:crosses val="autoZero"/>
        <c:auto val="1"/>
        <c:lblAlgn val="ctr"/>
        <c:lblOffset val="100"/>
        <c:tickLblSkip val="1"/>
        <c:noMultiLvlLbl val="0"/>
      </c:catAx>
      <c:valAx>
        <c:axId val="398576640"/>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0_ "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8575104"/>
        <c:crosses val="autoZero"/>
        <c:crossBetween val="between"/>
      </c:valAx>
      <c:catAx>
        <c:axId val="397162752"/>
        <c:scaling>
          <c:orientation val="minMax"/>
        </c:scaling>
        <c:delete val="1"/>
        <c:axPos val="b"/>
        <c:numFmt formatCode="General" sourceLinked="1"/>
        <c:majorTickMark val="out"/>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97161216"/>
        <c:crosses val="autoZero"/>
        <c:auto val="1"/>
        <c:lblAlgn val="ctr"/>
        <c:lblOffset val="100"/>
        <c:noMultiLvlLbl val="0"/>
      </c:catAx>
      <c:valAx>
        <c:axId val="397161216"/>
        <c:scaling>
          <c:orientation val="minMax"/>
        </c:scaling>
        <c:delete val="0"/>
        <c:axPos val="r"/>
        <c:numFmt formatCode="#,##0.00_);[Red]\(#,##0.0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97162752"/>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no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66CF11-2C15-44FA-A17A-C25F058AC962}">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Pages>
  <Words>5552</Words>
  <Characters>31650</Characters>
  <Lines>263</Lines>
  <Paragraphs>74</Paragraphs>
  <TotalTime>0</TotalTime>
  <ScaleCrop>false</ScaleCrop>
  <LinksUpToDate>false</LinksUpToDate>
  <CharactersWithSpaces>37128</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2017-05-17T07:58:00Z</dcterms:created>
  <dc:creator>Sky123.Org</dc:creator>
  <cp:lastModifiedBy>arashimimi</cp:lastModifiedBy>
  <cp:lastPrinted>2017-05-05T03:34:00Z</cp:lastPrinted>
  <dcterms:modified xsi:type="dcterms:W3CDTF">2018-01-02T01:31:48Z</dcterms:modified>
  <dc:title>北京信息职业技术学院2012届毕业生就业状况调查报告</dc:title>
  <cp:revision>211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